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9EAC16" w14:textId="77777777" w:rsidR="004B13B4" w:rsidRPr="00766EF1" w:rsidRDefault="004B13B4" w:rsidP="00E01BE2">
      <w:pPr>
        <w:jc w:val="center"/>
        <w:rPr>
          <w:rFonts w:ascii="Times New Roman" w:hAnsi="Times New Roman" w:cs="Times New Roman"/>
          <w:b/>
          <w:sz w:val="24"/>
          <w:szCs w:val="24"/>
        </w:rPr>
      </w:pPr>
    </w:p>
    <w:p w14:paraId="793C72D9" w14:textId="77777777" w:rsidR="004B13B4" w:rsidRPr="00766EF1" w:rsidRDefault="004B13B4" w:rsidP="004B13B4">
      <w:pPr>
        <w:jc w:val="center"/>
        <w:rPr>
          <w:rFonts w:ascii="Times New Roman" w:hAnsi="Times New Roman" w:cs="Times New Roman"/>
          <w:b/>
          <w:sz w:val="24"/>
          <w:szCs w:val="24"/>
        </w:rPr>
      </w:pPr>
      <w:r w:rsidRPr="00766EF1">
        <w:rPr>
          <w:rFonts w:ascii="Times New Roman" w:hAnsi="Times New Roman" w:cs="Times New Roman"/>
          <w:b/>
          <w:sz w:val="24"/>
          <w:szCs w:val="24"/>
        </w:rPr>
        <w:t>THE REPUBLIC OF KENYA</w:t>
      </w:r>
    </w:p>
    <w:p w14:paraId="1F0EEB24" w14:textId="45A37173" w:rsidR="00B728EE" w:rsidRPr="00766EF1" w:rsidRDefault="00B728EE" w:rsidP="004B13B4">
      <w:pPr>
        <w:jc w:val="center"/>
        <w:rPr>
          <w:rFonts w:ascii="Times New Roman" w:hAnsi="Times New Roman" w:cs="Times New Roman"/>
          <w:b/>
          <w:sz w:val="24"/>
          <w:szCs w:val="24"/>
        </w:rPr>
      </w:pPr>
    </w:p>
    <w:p w14:paraId="1A5F84BE" w14:textId="7E00B98A" w:rsidR="004B13B4" w:rsidRPr="00766EF1" w:rsidRDefault="00B12D95" w:rsidP="004B13B4">
      <w:pPr>
        <w:jc w:val="center"/>
        <w:rPr>
          <w:rFonts w:ascii="Times New Roman" w:hAnsi="Times New Roman" w:cs="Times New Roman"/>
          <w:b/>
          <w:sz w:val="24"/>
          <w:szCs w:val="24"/>
        </w:rPr>
      </w:pPr>
      <w:r w:rsidRPr="00766EF1">
        <w:rPr>
          <w:rFonts w:ascii="Times New Roman" w:hAnsi="Times New Roman" w:cs="Times New Roman"/>
          <w:b/>
          <w:sz w:val="24"/>
          <w:szCs w:val="24"/>
        </w:rPr>
        <w:t>COUNTY GOVERNMENT OF M</w:t>
      </w:r>
      <w:r w:rsidR="00BA726D" w:rsidRPr="00766EF1">
        <w:rPr>
          <w:rFonts w:ascii="Times New Roman" w:hAnsi="Times New Roman" w:cs="Times New Roman"/>
          <w:b/>
          <w:sz w:val="24"/>
          <w:szCs w:val="24"/>
        </w:rPr>
        <w:t>ERU</w:t>
      </w:r>
    </w:p>
    <w:p w14:paraId="5D743D7F" w14:textId="77777777" w:rsidR="00B728EE" w:rsidRPr="00766EF1" w:rsidRDefault="00B728EE" w:rsidP="004B13B4">
      <w:pPr>
        <w:jc w:val="center"/>
        <w:rPr>
          <w:rFonts w:ascii="Times New Roman" w:hAnsi="Times New Roman" w:cs="Times New Roman"/>
          <w:b/>
          <w:sz w:val="24"/>
          <w:szCs w:val="24"/>
        </w:rPr>
      </w:pPr>
      <w:r w:rsidRPr="00766EF1">
        <w:rPr>
          <w:rFonts w:ascii="Times New Roman" w:hAnsi="Times New Roman" w:cs="Times New Roman"/>
          <w:b/>
          <w:sz w:val="24"/>
          <w:szCs w:val="24"/>
        </w:rPr>
        <w:t>COUNTY TREASURY</w:t>
      </w:r>
    </w:p>
    <w:p w14:paraId="4F680E1F" w14:textId="5305EAF4" w:rsidR="00202B58" w:rsidRPr="00766EF1" w:rsidRDefault="00810FDD" w:rsidP="004B13B4">
      <w:pPr>
        <w:jc w:val="center"/>
        <w:rPr>
          <w:rFonts w:ascii="Times New Roman" w:hAnsi="Times New Roman" w:cs="Times New Roman"/>
          <w:b/>
          <w:sz w:val="24"/>
          <w:szCs w:val="24"/>
        </w:rPr>
      </w:pPr>
      <w:r w:rsidRPr="00766EF1">
        <w:rPr>
          <w:rFonts w:ascii="Times New Roman" w:hAnsi="Times New Roman" w:cs="Times New Roman"/>
          <w:b/>
          <w:noProof/>
          <w:sz w:val="24"/>
          <w:szCs w:val="24"/>
        </w:rPr>
        <w:drawing>
          <wp:inline distT="0" distB="0" distL="0" distR="0" wp14:anchorId="25138416" wp14:editId="4D388A28">
            <wp:extent cx="2386986" cy="173736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ru Logo.png"/>
                    <pic:cNvPicPr/>
                  </pic:nvPicPr>
                  <pic:blipFill>
                    <a:blip r:embed="rId8">
                      <a:extLst>
                        <a:ext uri="{28A0092B-C50C-407E-A947-70E740481C1C}">
                          <a14:useLocalDpi xmlns:a14="http://schemas.microsoft.com/office/drawing/2010/main" val="0"/>
                        </a:ext>
                      </a:extLst>
                    </a:blip>
                    <a:stretch>
                      <a:fillRect/>
                    </a:stretch>
                  </pic:blipFill>
                  <pic:spPr>
                    <a:xfrm>
                      <a:off x="0" y="0"/>
                      <a:ext cx="2386986" cy="1737360"/>
                    </a:xfrm>
                    <a:prstGeom prst="rect">
                      <a:avLst/>
                    </a:prstGeom>
                  </pic:spPr>
                </pic:pic>
              </a:graphicData>
            </a:graphic>
          </wp:inline>
        </w:drawing>
      </w:r>
    </w:p>
    <w:tbl>
      <w:tblPr>
        <w:tblStyle w:val="TableGrid"/>
        <w:tblW w:w="0" w:type="auto"/>
        <w:tblBorders>
          <w:top w:val="thinThickSmallGap" w:sz="24" w:space="0" w:color="92CDDC" w:themeColor="accent5" w:themeTint="99"/>
          <w:left w:val="none" w:sz="0" w:space="0" w:color="auto"/>
          <w:bottom w:val="thinThickSmallGap" w:sz="24" w:space="0" w:color="92CDDC" w:themeColor="accent5" w:themeTint="99"/>
          <w:right w:val="none" w:sz="0" w:space="0" w:color="auto"/>
          <w:insideH w:val="none" w:sz="0" w:space="0" w:color="auto"/>
          <w:insideV w:val="none" w:sz="0" w:space="0" w:color="auto"/>
        </w:tblBorders>
        <w:tblLook w:val="04A0" w:firstRow="1" w:lastRow="0" w:firstColumn="1" w:lastColumn="0" w:noHBand="0" w:noVBand="1"/>
      </w:tblPr>
      <w:tblGrid>
        <w:gridCol w:w="9990"/>
      </w:tblGrid>
      <w:tr w:rsidR="00D07CD7" w:rsidRPr="00766EF1" w14:paraId="3EB50293" w14:textId="77777777" w:rsidTr="00810FDD">
        <w:tc>
          <w:tcPr>
            <w:tcW w:w="10206" w:type="dxa"/>
          </w:tcPr>
          <w:p w14:paraId="28B31C93" w14:textId="77777777" w:rsidR="00D07CD7" w:rsidRPr="00766EF1" w:rsidRDefault="00D07CD7" w:rsidP="00D07CD7">
            <w:pPr>
              <w:jc w:val="center"/>
              <w:rPr>
                <w:rFonts w:ascii="Times New Roman" w:hAnsi="Times New Roman" w:cs="Times New Roman"/>
                <w:b/>
                <w:sz w:val="24"/>
                <w:szCs w:val="24"/>
              </w:rPr>
            </w:pPr>
          </w:p>
          <w:p w14:paraId="7A5BEAFF" w14:textId="77777777" w:rsidR="00D07CD7" w:rsidRPr="00766EF1" w:rsidRDefault="00D07CD7" w:rsidP="00D07CD7">
            <w:pPr>
              <w:jc w:val="center"/>
              <w:rPr>
                <w:rFonts w:ascii="Times New Roman" w:hAnsi="Times New Roman" w:cs="Times New Roman"/>
                <w:b/>
                <w:sz w:val="24"/>
                <w:szCs w:val="24"/>
              </w:rPr>
            </w:pPr>
          </w:p>
          <w:p w14:paraId="437B1229" w14:textId="77777777" w:rsidR="00E676B3" w:rsidRPr="00766EF1" w:rsidRDefault="00D07CD7" w:rsidP="00E676B3">
            <w:pPr>
              <w:jc w:val="center"/>
              <w:rPr>
                <w:rFonts w:ascii="Times New Roman" w:hAnsi="Times New Roman" w:cs="Times New Roman"/>
                <w:b/>
                <w:sz w:val="24"/>
                <w:szCs w:val="24"/>
              </w:rPr>
            </w:pPr>
            <w:r w:rsidRPr="00766EF1">
              <w:rPr>
                <w:rFonts w:ascii="Times New Roman" w:hAnsi="Times New Roman" w:cs="Times New Roman"/>
                <w:b/>
                <w:sz w:val="24"/>
                <w:szCs w:val="24"/>
              </w:rPr>
              <w:t>COUNTY BUDGET REVIEW AND OUTLOOK PAPER</w:t>
            </w:r>
            <w:r w:rsidR="00E676B3" w:rsidRPr="00766EF1">
              <w:rPr>
                <w:rFonts w:ascii="Times New Roman" w:hAnsi="Times New Roman" w:cs="Times New Roman"/>
                <w:b/>
                <w:sz w:val="24"/>
                <w:szCs w:val="24"/>
              </w:rPr>
              <w:t xml:space="preserve"> </w:t>
            </w:r>
          </w:p>
          <w:p w14:paraId="1333A105" w14:textId="3A771D0C" w:rsidR="00D07CD7" w:rsidRPr="00766EF1" w:rsidRDefault="002E1081" w:rsidP="00E676B3">
            <w:pPr>
              <w:jc w:val="center"/>
              <w:rPr>
                <w:rFonts w:ascii="Times New Roman" w:hAnsi="Times New Roman" w:cs="Times New Roman"/>
                <w:b/>
                <w:sz w:val="24"/>
                <w:szCs w:val="24"/>
              </w:rPr>
            </w:pPr>
            <w:r>
              <w:rPr>
                <w:rFonts w:ascii="Times New Roman" w:hAnsi="Times New Roman" w:cs="Times New Roman"/>
                <w:b/>
                <w:sz w:val="24"/>
                <w:szCs w:val="24"/>
              </w:rPr>
              <w:t>(CBROP) 2019</w:t>
            </w:r>
          </w:p>
        </w:tc>
      </w:tr>
      <w:tr w:rsidR="00E676B3" w:rsidRPr="00766EF1" w14:paraId="7C33E309" w14:textId="77777777" w:rsidTr="00810FDD">
        <w:tc>
          <w:tcPr>
            <w:tcW w:w="10206" w:type="dxa"/>
          </w:tcPr>
          <w:p w14:paraId="3E05B66A" w14:textId="77777777" w:rsidR="00E676B3" w:rsidRPr="00766EF1" w:rsidRDefault="00E676B3" w:rsidP="00D07CD7">
            <w:pPr>
              <w:jc w:val="center"/>
              <w:rPr>
                <w:rFonts w:ascii="Times New Roman" w:hAnsi="Times New Roman" w:cs="Times New Roman"/>
                <w:b/>
                <w:sz w:val="24"/>
                <w:szCs w:val="24"/>
              </w:rPr>
            </w:pPr>
          </w:p>
        </w:tc>
      </w:tr>
    </w:tbl>
    <w:p w14:paraId="41309F5D" w14:textId="77777777" w:rsidR="00B728EE" w:rsidRPr="00766EF1" w:rsidRDefault="00B728EE" w:rsidP="00D07CD7">
      <w:pPr>
        <w:jc w:val="center"/>
        <w:rPr>
          <w:rFonts w:ascii="Times New Roman" w:hAnsi="Times New Roman" w:cs="Times New Roman"/>
          <w:b/>
          <w:sz w:val="24"/>
          <w:szCs w:val="24"/>
        </w:rPr>
      </w:pPr>
    </w:p>
    <w:p w14:paraId="015E8416" w14:textId="77777777" w:rsidR="00B37408" w:rsidRPr="00766EF1" w:rsidRDefault="00B37408" w:rsidP="004B13B4">
      <w:pPr>
        <w:jc w:val="center"/>
        <w:rPr>
          <w:rFonts w:ascii="Times New Roman" w:hAnsi="Times New Roman" w:cs="Times New Roman"/>
          <w:b/>
          <w:sz w:val="24"/>
          <w:szCs w:val="24"/>
        </w:rPr>
      </w:pPr>
    </w:p>
    <w:p w14:paraId="21FDF68B" w14:textId="77777777" w:rsidR="004B13B4" w:rsidRPr="00766EF1" w:rsidRDefault="004B13B4" w:rsidP="00D07CD7">
      <w:pPr>
        <w:jc w:val="center"/>
        <w:rPr>
          <w:rFonts w:ascii="Times New Roman" w:hAnsi="Times New Roman" w:cs="Times New Roman"/>
          <w:b/>
          <w:sz w:val="24"/>
          <w:szCs w:val="24"/>
        </w:rPr>
      </w:pPr>
    </w:p>
    <w:p w14:paraId="26E7EEF7" w14:textId="77777777" w:rsidR="004B13B4" w:rsidRPr="00766EF1" w:rsidRDefault="004B13B4" w:rsidP="004B13B4">
      <w:pPr>
        <w:jc w:val="center"/>
        <w:rPr>
          <w:rFonts w:ascii="Times New Roman" w:hAnsi="Times New Roman" w:cs="Times New Roman"/>
          <w:b/>
          <w:sz w:val="24"/>
          <w:szCs w:val="24"/>
        </w:rPr>
      </w:pPr>
    </w:p>
    <w:p w14:paraId="2AC74F1D" w14:textId="77777777" w:rsidR="004B13B4" w:rsidRPr="00766EF1" w:rsidRDefault="004B13B4" w:rsidP="004B13B4">
      <w:pPr>
        <w:jc w:val="center"/>
        <w:rPr>
          <w:rFonts w:ascii="Times New Roman" w:hAnsi="Times New Roman" w:cs="Times New Roman"/>
          <w:b/>
          <w:sz w:val="24"/>
          <w:szCs w:val="24"/>
        </w:rPr>
      </w:pPr>
    </w:p>
    <w:p w14:paraId="3B32D168" w14:textId="6A61863D" w:rsidR="004B13B4" w:rsidRPr="00766EF1" w:rsidRDefault="004E2FA5" w:rsidP="004B13B4">
      <w:pPr>
        <w:jc w:val="center"/>
        <w:rPr>
          <w:rFonts w:ascii="Times New Roman" w:hAnsi="Times New Roman" w:cs="Times New Roman"/>
          <w:b/>
          <w:sz w:val="24"/>
          <w:szCs w:val="24"/>
        </w:rPr>
      </w:pPr>
      <w:r w:rsidRPr="00766EF1">
        <w:rPr>
          <w:rFonts w:ascii="Times New Roman" w:hAnsi="Times New Roman" w:cs="Times New Roman"/>
          <w:b/>
          <w:sz w:val="24"/>
          <w:szCs w:val="24"/>
        </w:rPr>
        <w:t>SEPTEMBER 20</w:t>
      </w:r>
      <w:r w:rsidR="002E1081">
        <w:rPr>
          <w:rFonts w:ascii="Times New Roman" w:hAnsi="Times New Roman" w:cs="Times New Roman"/>
          <w:b/>
          <w:sz w:val="24"/>
          <w:szCs w:val="24"/>
        </w:rPr>
        <w:t>19</w:t>
      </w:r>
    </w:p>
    <w:p w14:paraId="27985804" w14:textId="77777777" w:rsidR="008930AE" w:rsidRPr="00766EF1" w:rsidRDefault="008930AE" w:rsidP="004B13B4">
      <w:pPr>
        <w:jc w:val="center"/>
        <w:rPr>
          <w:rFonts w:ascii="Times New Roman" w:hAnsi="Times New Roman" w:cs="Times New Roman"/>
          <w:b/>
          <w:sz w:val="24"/>
          <w:szCs w:val="24"/>
        </w:rPr>
      </w:pPr>
    </w:p>
    <w:p w14:paraId="1A75495A" w14:textId="77777777" w:rsidR="008930AE" w:rsidRPr="00766EF1" w:rsidRDefault="008930AE" w:rsidP="004B13B4">
      <w:pPr>
        <w:jc w:val="center"/>
        <w:rPr>
          <w:rFonts w:ascii="Times New Roman" w:hAnsi="Times New Roman" w:cs="Times New Roman"/>
          <w:b/>
          <w:sz w:val="24"/>
          <w:szCs w:val="24"/>
        </w:rPr>
        <w:sectPr w:rsidR="008930AE" w:rsidRPr="00766EF1" w:rsidSect="00F41687">
          <w:headerReference w:type="default" r:id="rId9"/>
          <w:footerReference w:type="default" r:id="rId10"/>
          <w:footerReference w:type="first" r:id="rId11"/>
          <w:pgSz w:w="11907" w:h="16839" w:code="9"/>
          <w:pgMar w:top="1440" w:right="927" w:bottom="1440" w:left="990" w:header="720" w:footer="720" w:gutter="0"/>
          <w:cols w:space="720"/>
          <w:titlePg/>
          <w:docGrid w:linePitch="360"/>
        </w:sectPr>
      </w:pPr>
    </w:p>
    <w:p w14:paraId="208BC881" w14:textId="77777777" w:rsidR="008930AE" w:rsidRPr="00766EF1" w:rsidRDefault="008930AE" w:rsidP="004B13B4">
      <w:pPr>
        <w:jc w:val="center"/>
        <w:rPr>
          <w:rFonts w:ascii="Times New Roman" w:hAnsi="Times New Roman" w:cs="Times New Roman"/>
          <w:b/>
          <w:sz w:val="24"/>
          <w:szCs w:val="24"/>
        </w:rPr>
      </w:pPr>
    </w:p>
    <w:p w14:paraId="2D97C94B" w14:textId="77777777" w:rsidR="004B13B4" w:rsidRPr="00766EF1" w:rsidRDefault="004B13B4" w:rsidP="004B13B4">
      <w:pPr>
        <w:jc w:val="center"/>
        <w:rPr>
          <w:rFonts w:ascii="Times New Roman" w:hAnsi="Times New Roman" w:cs="Times New Roman"/>
          <w:b/>
          <w:sz w:val="24"/>
          <w:szCs w:val="24"/>
        </w:rPr>
      </w:pPr>
    </w:p>
    <w:p w14:paraId="33120037" w14:textId="77777777" w:rsidR="004B13B4" w:rsidRPr="00766EF1" w:rsidRDefault="004B13B4" w:rsidP="004B13B4">
      <w:pPr>
        <w:jc w:val="center"/>
        <w:rPr>
          <w:rFonts w:ascii="Times New Roman" w:hAnsi="Times New Roman" w:cs="Times New Roman"/>
          <w:b/>
          <w:sz w:val="24"/>
          <w:szCs w:val="24"/>
        </w:rPr>
      </w:pPr>
    </w:p>
    <w:p w14:paraId="549EF9C6" w14:textId="77777777" w:rsidR="004B13B4" w:rsidRPr="00766EF1" w:rsidRDefault="004B13B4" w:rsidP="004B13B4">
      <w:pPr>
        <w:jc w:val="center"/>
        <w:rPr>
          <w:rFonts w:ascii="Times New Roman" w:hAnsi="Times New Roman" w:cs="Times New Roman"/>
          <w:b/>
          <w:sz w:val="24"/>
          <w:szCs w:val="24"/>
        </w:rPr>
      </w:pPr>
    </w:p>
    <w:p w14:paraId="71E0F8D1" w14:textId="77777777" w:rsidR="004B13B4" w:rsidRPr="00766EF1" w:rsidRDefault="004B13B4" w:rsidP="004B13B4">
      <w:pPr>
        <w:jc w:val="center"/>
        <w:rPr>
          <w:rFonts w:ascii="Times New Roman" w:hAnsi="Times New Roman" w:cs="Times New Roman"/>
          <w:b/>
          <w:sz w:val="24"/>
          <w:szCs w:val="24"/>
        </w:rPr>
      </w:pPr>
    </w:p>
    <w:p w14:paraId="5EB66C99" w14:textId="77777777" w:rsidR="004B13B4" w:rsidRPr="00766EF1" w:rsidRDefault="004B13B4" w:rsidP="004B13B4">
      <w:pPr>
        <w:jc w:val="center"/>
        <w:rPr>
          <w:rFonts w:ascii="Times New Roman" w:hAnsi="Times New Roman" w:cs="Times New Roman"/>
          <w:b/>
          <w:sz w:val="24"/>
          <w:szCs w:val="24"/>
        </w:rPr>
      </w:pPr>
    </w:p>
    <w:p w14:paraId="17712165" w14:textId="77777777" w:rsidR="004B13B4" w:rsidRPr="00766EF1" w:rsidRDefault="004B13B4" w:rsidP="004B13B4">
      <w:pPr>
        <w:jc w:val="center"/>
        <w:rPr>
          <w:rFonts w:ascii="Times New Roman" w:hAnsi="Times New Roman" w:cs="Times New Roman"/>
          <w:b/>
          <w:sz w:val="24"/>
          <w:szCs w:val="24"/>
        </w:rPr>
      </w:pPr>
    </w:p>
    <w:p w14:paraId="6A1AE42C" w14:textId="77777777" w:rsidR="004B13B4" w:rsidRPr="00766EF1" w:rsidRDefault="004B13B4" w:rsidP="004B13B4">
      <w:pPr>
        <w:jc w:val="center"/>
        <w:rPr>
          <w:rFonts w:ascii="Times New Roman" w:hAnsi="Times New Roman" w:cs="Times New Roman"/>
          <w:b/>
          <w:sz w:val="24"/>
          <w:szCs w:val="24"/>
        </w:rPr>
      </w:pPr>
    </w:p>
    <w:p w14:paraId="24B06CF0" w14:textId="77777777" w:rsidR="004B13B4" w:rsidRPr="00766EF1" w:rsidRDefault="004B13B4" w:rsidP="004B13B4">
      <w:pPr>
        <w:jc w:val="center"/>
        <w:rPr>
          <w:rFonts w:ascii="Times New Roman" w:hAnsi="Times New Roman" w:cs="Times New Roman"/>
          <w:b/>
          <w:sz w:val="24"/>
          <w:szCs w:val="24"/>
        </w:rPr>
      </w:pPr>
    </w:p>
    <w:p w14:paraId="1F4FFDD2" w14:textId="77777777" w:rsidR="004B13B4" w:rsidRPr="00766EF1" w:rsidRDefault="004B13B4" w:rsidP="004B13B4">
      <w:pPr>
        <w:jc w:val="center"/>
        <w:rPr>
          <w:rFonts w:ascii="Times New Roman" w:hAnsi="Times New Roman" w:cs="Times New Roman"/>
          <w:b/>
          <w:sz w:val="24"/>
          <w:szCs w:val="24"/>
        </w:rPr>
      </w:pPr>
    </w:p>
    <w:p w14:paraId="5AC91177" w14:textId="77777777" w:rsidR="004B13B4" w:rsidRPr="00766EF1" w:rsidRDefault="004B13B4" w:rsidP="004B13B4">
      <w:pPr>
        <w:jc w:val="center"/>
        <w:rPr>
          <w:rFonts w:ascii="Times New Roman" w:hAnsi="Times New Roman" w:cs="Times New Roman"/>
          <w:b/>
          <w:sz w:val="24"/>
          <w:szCs w:val="24"/>
        </w:rPr>
      </w:pPr>
    </w:p>
    <w:p w14:paraId="6EAFFA90" w14:textId="77777777" w:rsidR="005A2AA3" w:rsidRPr="00766EF1" w:rsidRDefault="005A2AA3" w:rsidP="004B13B4">
      <w:pPr>
        <w:jc w:val="center"/>
        <w:rPr>
          <w:rFonts w:ascii="Times New Roman" w:hAnsi="Times New Roman" w:cs="Times New Roman"/>
          <w:b/>
          <w:sz w:val="24"/>
          <w:szCs w:val="24"/>
        </w:rPr>
      </w:pPr>
    </w:p>
    <w:p w14:paraId="702C5B93" w14:textId="77777777" w:rsidR="005A2AA3" w:rsidRPr="00766EF1" w:rsidRDefault="005A2AA3" w:rsidP="004B13B4">
      <w:pPr>
        <w:jc w:val="center"/>
        <w:rPr>
          <w:rFonts w:ascii="Times New Roman" w:hAnsi="Times New Roman" w:cs="Times New Roman"/>
          <w:b/>
          <w:sz w:val="24"/>
          <w:szCs w:val="24"/>
        </w:rPr>
      </w:pPr>
    </w:p>
    <w:p w14:paraId="70C1FA94" w14:textId="77777777" w:rsidR="005A2AA3" w:rsidRPr="00766EF1" w:rsidRDefault="005A2AA3" w:rsidP="004B13B4">
      <w:pPr>
        <w:jc w:val="center"/>
        <w:rPr>
          <w:rFonts w:ascii="Times New Roman" w:hAnsi="Times New Roman" w:cs="Times New Roman"/>
          <w:b/>
          <w:sz w:val="24"/>
          <w:szCs w:val="24"/>
        </w:rPr>
      </w:pPr>
    </w:p>
    <w:p w14:paraId="6573922A" w14:textId="61740534" w:rsidR="00325B42" w:rsidRPr="00766EF1" w:rsidRDefault="00325B42" w:rsidP="00325B42">
      <w:pPr>
        <w:spacing w:before="100" w:beforeAutospacing="1" w:after="240" w:line="240" w:lineRule="auto"/>
        <w:jc w:val="center"/>
        <w:rPr>
          <w:rFonts w:ascii="Times New Roman" w:hAnsi="Times New Roman" w:cs="Times New Roman"/>
          <w:b/>
          <w:bCs/>
          <w:sz w:val="24"/>
          <w:szCs w:val="24"/>
        </w:rPr>
      </w:pPr>
      <w:r w:rsidRPr="00766EF1">
        <w:rPr>
          <w:rFonts w:ascii="Times New Roman" w:hAnsi="Times New Roman" w:cs="Times New Roman"/>
          <w:noProof/>
          <w:sz w:val="24"/>
          <w:szCs w:val="24"/>
        </w:rPr>
        <mc:AlternateContent>
          <mc:Choice Requires="wps">
            <w:drawing>
              <wp:anchor distT="0" distB="0" distL="0" distR="0" simplePos="0" relativeHeight="251687936" behindDoc="0" locked="0" layoutInCell="0" allowOverlap="1" wp14:anchorId="31EAD9AB" wp14:editId="19AD3FFA">
                <wp:simplePos x="0" y="0"/>
                <wp:positionH relativeFrom="page">
                  <wp:posOffset>890270</wp:posOffset>
                </wp:positionH>
                <wp:positionV relativeFrom="page">
                  <wp:posOffset>9895205</wp:posOffset>
                </wp:positionV>
                <wp:extent cx="5778500" cy="169545"/>
                <wp:effectExtent l="0" t="0" r="0" b="0"/>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00" cy="16954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297897" w14:textId="77777777" w:rsidR="003D1389" w:rsidRDefault="003D1389" w:rsidP="00325B42">
                            <w:pPr>
                              <w:spacing w:before="28" w:line="229" w:lineRule="exact"/>
                              <w:ind w:right="36"/>
                              <w:jc w:val="right"/>
                              <w:rPr>
                                <w:rFonts w:ascii="Calibri" w:hAnsi="Calibri" w:cs="Calibri"/>
                                <w:color w:val="7E7E7E"/>
                                <w:sz w:val="23"/>
                                <w:szCs w:val="23"/>
                              </w:rPr>
                            </w:pPr>
                            <w:r>
                              <w:rPr>
                                <w:rFonts w:ascii="Calibri" w:hAnsi="Calibri" w:cs="Calibri"/>
                                <w:sz w:val="23"/>
                                <w:szCs w:val="23"/>
                              </w:rPr>
                              <w:t>II |</w:t>
                            </w:r>
                            <w:r>
                              <w:rPr>
                                <w:rFonts w:ascii="Calibri" w:hAnsi="Calibri" w:cs="Calibri"/>
                                <w:color w:val="7E7E7E"/>
                                <w:sz w:val="23"/>
                                <w:szCs w:val="23"/>
                              </w:rPr>
                              <w:t xml:space="preserve"> P a g 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EAD9AB" id="_x0000_t202" coordsize="21600,21600" o:spt="202" path="m,l,21600r21600,l21600,xe">
                <v:stroke joinstyle="miter"/>
                <v:path gradientshapeok="t" o:connecttype="rect"/>
              </v:shapetype>
              <v:shape id="Text Box 5" o:spid="_x0000_s1026" type="#_x0000_t202" style="position:absolute;left:0;text-align:left;margin-left:70.1pt;margin-top:779.15pt;width:455pt;height:13.35pt;z-index:25168793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" o:allowincell="f" stroked="f">
                <v:fill opacity="0"/>
                <v:textbox inset="0,0,0,0">
                  <w:txbxContent>
                    <w:p w14:paraId="3D297897" w14:textId="77777777" w:rsidR="003D1389" w:rsidRDefault="003D1389" w:rsidP="00325B42">
                      <w:pPr>
                        <w:spacing w:before="28" w:line="229" w:lineRule="exact"/>
                        <w:ind w:right="36"/>
                        <w:jc w:val="right"/>
                        <w:rPr>
                          <w:rFonts w:ascii="Calibri" w:hAnsi="Calibri" w:cs="Calibri"/>
                          <w:color w:val="7E7E7E"/>
                          <w:sz w:val="23"/>
                          <w:szCs w:val="23"/>
                        </w:rPr>
                      </w:pPr>
                      <w:r>
                        <w:rPr>
                          <w:rFonts w:ascii="Calibri" w:hAnsi="Calibri" w:cs="Calibri"/>
                          <w:sz w:val="23"/>
                          <w:szCs w:val="23"/>
                        </w:rPr>
                        <w:t>II |</w:t>
                      </w:r>
                      <w:r>
                        <w:rPr>
                          <w:rFonts w:ascii="Calibri" w:hAnsi="Calibri" w:cs="Calibri"/>
                          <w:color w:val="7E7E7E"/>
                          <w:sz w:val="23"/>
                          <w:szCs w:val="23"/>
                        </w:rPr>
                        <w:t xml:space="preserve"> P a g e</w:t>
                      </w:r>
                    </w:p>
                  </w:txbxContent>
                </v:textbox>
                <w10:wrap type="square" anchorx="page" anchory="page"/>
              </v:shape>
            </w:pict>
          </mc:Fallback>
        </mc:AlternateContent>
      </w:r>
      <w:r w:rsidRPr="00766EF1">
        <w:rPr>
          <w:rFonts w:ascii="Times New Roman" w:hAnsi="Times New Roman" w:cs="Times New Roman"/>
          <w:b/>
          <w:bCs/>
          <w:sz w:val="24"/>
          <w:szCs w:val="24"/>
        </w:rPr>
        <w:t>© County Budget Revie</w:t>
      </w:r>
      <w:r w:rsidR="002E1081">
        <w:rPr>
          <w:rFonts w:ascii="Times New Roman" w:hAnsi="Times New Roman" w:cs="Times New Roman"/>
          <w:b/>
          <w:bCs/>
          <w:sz w:val="24"/>
          <w:szCs w:val="24"/>
        </w:rPr>
        <w:t>w and Outlook Paper (CBROP) 2019</w:t>
      </w:r>
    </w:p>
    <w:p w14:paraId="1DBB34F2" w14:textId="77777777" w:rsidR="00325B42" w:rsidRPr="00766EF1" w:rsidRDefault="00325B42" w:rsidP="00325B42">
      <w:pPr>
        <w:spacing w:line="421" w:lineRule="exact"/>
        <w:jc w:val="center"/>
        <w:rPr>
          <w:rFonts w:ascii="Times New Roman" w:hAnsi="Times New Roman" w:cs="Times New Roman"/>
          <w:b/>
          <w:bCs/>
          <w:sz w:val="24"/>
          <w:szCs w:val="24"/>
        </w:rPr>
      </w:pPr>
      <w:r w:rsidRPr="00766EF1">
        <w:rPr>
          <w:rFonts w:ascii="Times New Roman" w:hAnsi="Times New Roman" w:cs="Times New Roman"/>
          <w:noProof/>
          <w:sz w:val="24"/>
          <w:szCs w:val="24"/>
        </w:rPr>
        <mc:AlternateContent>
          <mc:Choice Requires="wps">
            <w:drawing>
              <wp:anchor distT="0" distB="0" distL="0" distR="0" simplePos="0" relativeHeight="251688960" behindDoc="0" locked="0" layoutInCell="0" allowOverlap="1" wp14:anchorId="267C1EE8" wp14:editId="02BA6FE5">
                <wp:simplePos x="0" y="0"/>
                <wp:positionH relativeFrom="column">
                  <wp:posOffset>0</wp:posOffset>
                </wp:positionH>
                <wp:positionV relativeFrom="paragraph">
                  <wp:posOffset>3519805</wp:posOffset>
                </wp:positionV>
                <wp:extent cx="5779135" cy="0"/>
                <wp:effectExtent l="0" t="0" r="0" b="0"/>
                <wp:wrapSquare wrapText="bothSides"/>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79135" cy="0"/>
                        </a:xfrm>
                        <a:prstGeom prst="line">
                          <a:avLst/>
                        </a:prstGeom>
                        <a:noFill/>
                        <a:ln w="8890">
                          <a:solidFill>
                            <a:srgbClr val="D9D9D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454691" id="Straight Connector 2" o:spid="_x0000_s1026" style="position:absolute;z-index:2516889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0,277.15pt" to="455.05pt,27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" o:allowincell="f" strokecolor="#d9d9d9" strokeweight=".7pt">
                <w10:wrap type="square"/>
              </v:line>
            </w:pict>
          </mc:Fallback>
        </mc:AlternateContent>
      </w:r>
      <w:r w:rsidRPr="00766EF1">
        <w:rPr>
          <w:rFonts w:ascii="Times New Roman" w:hAnsi="Times New Roman" w:cs="Times New Roman"/>
          <w:b/>
          <w:bCs/>
          <w:sz w:val="24"/>
          <w:szCs w:val="24"/>
        </w:rPr>
        <w:t>The County Treasury P. O. Box 120-60200 MERU, KENYA</w:t>
      </w:r>
      <w:r w:rsidRPr="00766EF1">
        <w:rPr>
          <w:rFonts w:ascii="Times New Roman" w:hAnsi="Times New Roman" w:cs="Times New Roman"/>
          <w:b/>
          <w:bCs/>
          <w:sz w:val="24"/>
          <w:szCs w:val="24"/>
        </w:rPr>
        <w:br/>
      </w:r>
      <w:hyperlink r:id="rId12" w:history="1">
        <w:r w:rsidRPr="00766EF1">
          <w:rPr>
            <w:rStyle w:val="Hyperlink"/>
            <w:rFonts w:ascii="Times New Roman" w:hAnsi="Times New Roman" w:cs="Times New Roman"/>
            <w:b/>
            <w:bCs/>
            <w:sz w:val="24"/>
            <w:szCs w:val="24"/>
          </w:rPr>
          <w:t xml:space="preserve">Email: merucounty@meru.go.ke </w:t>
        </w:r>
      </w:hyperlink>
      <w:r w:rsidRPr="00766EF1">
        <w:rPr>
          <w:rFonts w:ascii="Times New Roman" w:hAnsi="Times New Roman" w:cs="Times New Roman"/>
          <w:b/>
          <w:bCs/>
          <w:sz w:val="24"/>
          <w:szCs w:val="24"/>
        </w:rPr>
        <w:br/>
        <w:t>Website:</w:t>
      </w:r>
      <w:r w:rsidRPr="00766EF1">
        <w:rPr>
          <w:rFonts w:ascii="Times New Roman" w:hAnsi="Times New Roman" w:cs="Times New Roman"/>
          <w:b/>
          <w:bCs/>
          <w:color w:val="0000FF"/>
          <w:sz w:val="24"/>
          <w:szCs w:val="24"/>
          <w:u w:val="single"/>
        </w:rPr>
        <w:t xml:space="preserve"> </w:t>
      </w:r>
      <w:hyperlink r:id="rId13" w:history="1">
        <w:r w:rsidRPr="00766EF1">
          <w:rPr>
            <w:rStyle w:val="Hyperlink"/>
            <w:rFonts w:ascii="Times New Roman" w:hAnsi="Times New Roman" w:cs="Times New Roman"/>
            <w:b/>
            <w:bCs/>
            <w:sz w:val="24"/>
            <w:szCs w:val="24"/>
          </w:rPr>
          <w:t>www.meru.go.ke</w:t>
        </w:r>
      </w:hyperlink>
      <w:r w:rsidRPr="00766EF1">
        <w:rPr>
          <w:rFonts w:ascii="Times New Roman" w:hAnsi="Times New Roman" w:cs="Times New Roman"/>
          <w:b/>
          <w:bCs/>
          <w:sz w:val="24"/>
          <w:szCs w:val="24"/>
        </w:rPr>
        <w:t xml:space="preserve"> </w:t>
      </w:r>
    </w:p>
    <w:p w14:paraId="2E2DE28E" w14:textId="77777777" w:rsidR="00B9180F" w:rsidRPr="00766EF1" w:rsidRDefault="00B9180F" w:rsidP="004B13B4">
      <w:pPr>
        <w:spacing w:after="0" w:line="240" w:lineRule="auto"/>
        <w:jc w:val="center"/>
        <w:rPr>
          <w:rStyle w:val="Hyperlink"/>
          <w:rFonts w:ascii="Times New Roman" w:hAnsi="Times New Roman" w:cs="Times New Roman"/>
          <w:sz w:val="24"/>
          <w:szCs w:val="24"/>
          <w:u w:val="none"/>
        </w:rPr>
      </w:pPr>
    </w:p>
    <w:p w14:paraId="31593655" w14:textId="77777777" w:rsidR="004041C1" w:rsidRPr="00766EF1" w:rsidRDefault="004041C1" w:rsidP="004B13B4">
      <w:pPr>
        <w:spacing w:after="0" w:line="240" w:lineRule="auto"/>
        <w:jc w:val="center"/>
        <w:rPr>
          <w:rStyle w:val="Hyperlink"/>
          <w:rFonts w:ascii="Times New Roman" w:hAnsi="Times New Roman" w:cs="Times New Roman"/>
          <w:sz w:val="24"/>
          <w:szCs w:val="24"/>
          <w:u w:val="none"/>
        </w:rPr>
      </w:pPr>
    </w:p>
    <w:p w14:paraId="46861F10" w14:textId="77777777" w:rsidR="004041C1" w:rsidRPr="00766EF1" w:rsidRDefault="004041C1" w:rsidP="004B13B4">
      <w:pPr>
        <w:spacing w:after="0" w:line="240" w:lineRule="auto"/>
        <w:jc w:val="center"/>
        <w:rPr>
          <w:rStyle w:val="Hyperlink"/>
          <w:rFonts w:ascii="Times New Roman" w:hAnsi="Times New Roman" w:cs="Times New Roman"/>
          <w:sz w:val="24"/>
          <w:szCs w:val="24"/>
          <w:u w:val="none"/>
        </w:rPr>
        <w:sectPr w:rsidR="004041C1" w:rsidRPr="00766EF1" w:rsidSect="00F41687">
          <w:pgSz w:w="11907" w:h="16839" w:code="9"/>
          <w:pgMar w:top="1440" w:right="927" w:bottom="1440" w:left="990" w:header="720" w:footer="720" w:gutter="0"/>
          <w:cols w:space="720"/>
          <w:titlePg/>
          <w:docGrid w:linePitch="360"/>
        </w:sectPr>
      </w:pPr>
    </w:p>
    <w:p w14:paraId="22628DE5" w14:textId="77777777" w:rsidR="004041C1" w:rsidRPr="00766EF1" w:rsidRDefault="004041C1" w:rsidP="004B13B4">
      <w:pPr>
        <w:spacing w:after="0" w:line="240" w:lineRule="auto"/>
        <w:jc w:val="center"/>
        <w:rPr>
          <w:rStyle w:val="Hyperlink"/>
          <w:rFonts w:ascii="Times New Roman" w:hAnsi="Times New Roman" w:cs="Times New Roman"/>
          <w:sz w:val="24"/>
          <w:szCs w:val="24"/>
          <w:u w:val="none"/>
        </w:rPr>
      </w:pPr>
    </w:p>
    <w:sdt>
      <w:sdtPr>
        <w:rPr>
          <w:rFonts w:asciiTheme="minorHAnsi" w:eastAsiaTheme="minorEastAsia" w:hAnsiTheme="minorHAnsi" w:cstheme="minorBidi"/>
          <w:b w:val="0"/>
          <w:bCs w:val="0"/>
          <w:color w:val="0000FF" w:themeColor="hyperlink"/>
          <w:sz w:val="22"/>
          <w:szCs w:val="22"/>
          <w:u w:val="single"/>
          <w:lang w:eastAsia="en-US"/>
        </w:rPr>
        <w:id w:val="-229768338"/>
        <w:docPartObj>
          <w:docPartGallery w:val="Table of Contents"/>
          <w:docPartUnique/>
        </w:docPartObj>
      </w:sdtPr>
      <w:sdtEndPr>
        <w:rPr>
          <w:noProof/>
          <w:color w:val="auto"/>
          <w:u w:val="none"/>
        </w:rPr>
      </w:sdtEndPr>
      <w:sdtContent>
        <w:p w14:paraId="6F295EEB" w14:textId="5C425E47" w:rsidR="008F43B5" w:rsidRDefault="008F43B5">
          <w:pPr>
            <w:pStyle w:val="TOCHeading"/>
          </w:pPr>
          <w:r>
            <w:t>Table of Contents</w:t>
          </w:r>
        </w:p>
        <w:p w14:paraId="392D21D7" w14:textId="77777777" w:rsidR="007249C9" w:rsidRDefault="008F43B5">
          <w:pPr>
            <w:pStyle w:val="TOC1"/>
            <w:tabs>
              <w:tab w:val="right" w:leader="dot" w:pos="9980"/>
            </w:tabs>
            <w:rPr>
              <w:bCs w:val="0"/>
              <w:noProof/>
              <w:lang w:eastAsia="en-US"/>
            </w:rPr>
          </w:pPr>
          <w:r>
            <w:fldChar w:fldCharType="begin"/>
          </w:r>
          <w:r>
            <w:instrText xml:space="preserve"> TOC \o "1-3" \h \z \u </w:instrText>
          </w:r>
          <w:r>
            <w:fldChar w:fldCharType="separate"/>
          </w:r>
          <w:hyperlink w:anchor="_Toc23266811" w:history="1">
            <w:r w:rsidR="007249C9" w:rsidRPr="00907F3B">
              <w:rPr>
                <w:rStyle w:val="Hyperlink"/>
                <w:rFonts w:ascii="Times New Roman" w:hAnsi="Times New Roman" w:cs="Times New Roman"/>
                <w:noProof/>
              </w:rPr>
              <w:t>Foreword</w:t>
            </w:r>
            <w:r w:rsidR="007249C9">
              <w:rPr>
                <w:noProof/>
                <w:webHidden/>
              </w:rPr>
              <w:tab/>
            </w:r>
            <w:r w:rsidR="007249C9">
              <w:rPr>
                <w:noProof/>
                <w:webHidden/>
              </w:rPr>
              <w:fldChar w:fldCharType="begin"/>
            </w:r>
            <w:r w:rsidR="007249C9">
              <w:rPr>
                <w:noProof/>
                <w:webHidden/>
              </w:rPr>
              <w:instrText xml:space="preserve"> PAGEREF _Toc23266811 \h </w:instrText>
            </w:r>
            <w:r w:rsidR="007249C9">
              <w:rPr>
                <w:noProof/>
                <w:webHidden/>
              </w:rPr>
            </w:r>
            <w:r w:rsidR="007249C9">
              <w:rPr>
                <w:noProof/>
                <w:webHidden/>
              </w:rPr>
              <w:fldChar w:fldCharType="separate"/>
            </w:r>
            <w:r w:rsidR="007A44EB">
              <w:rPr>
                <w:noProof/>
                <w:webHidden/>
              </w:rPr>
              <w:t>i</w:t>
            </w:r>
            <w:r w:rsidR="007249C9">
              <w:rPr>
                <w:noProof/>
                <w:webHidden/>
              </w:rPr>
              <w:fldChar w:fldCharType="end"/>
            </w:r>
          </w:hyperlink>
        </w:p>
        <w:p w14:paraId="13780D26" w14:textId="77777777" w:rsidR="007249C9" w:rsidRDefault="006C47E4">
          <w:pPr>
            <w:pStyle w:val="TOC1"/>
            <w:tabs>
              <w:tab w:val="right" w:leader="dot" w:pos="9980"/>
            </w:tabs>
            <w:rPr>
              <w:bCs w:val="0"/>
              <w:noProof/>
              <w:lang w:eastAsia="en-US"/>
            </w:rPr>
          </w:pPr>
          <w:hyperlink w:anchor="_Toc23266812" w:history="1">
            <w:r w:rsidR="007249C9" w:rsidRPr="00907F3B">
              <w:rPr>
                <w:rStyle w:val="Hyperlink"/>
                <w:rFonts w:ascii="Times New Roman" w:hAnsi="Times New Roman" w:cs="Times New Roman"/>
                <w:noProof/>
              </w:rPr>
              <w:t>Acknowledgement</w:t>
            </w:r>
            <w:r w:rsidR="007249C9">
              <w:rPr>
                <w:noProof/>
                <w:webHidden/>
              </w:rPr>
              <w:tab/>
            </w:r>
            <w:r w:rsidR="007249C9">
              <w:rPr>
                <w:noProof/>
                <w:webHidden/>
              </w:rPr>
              <w:fldChar w:fldCharType="begin"/>
            </w:r>
            <w:r w:rsidR="007249C9">
              <w:rPr>
                <w:noProof/>
                <w:webHidden/>
              </w:rPr>
              <w:instrText xml:space="preserve"> PAGEREF _Toc23266812 \h </w:instrText>
            </w:r>
            <w:r w:rsidR="007249C9">
              <w:rPr>
                <w:noProof/>
                <w:webHidden/>
              </w:rPr>
            </w:r>
            <w:r w:rsidR="007249C9">
              <w:rPr>
                <w:noProof/>
                <w:webHidden/>
              </w:rPr>
              <w:fldChar w:fldCharType="separate"/>
            </w:r>
            <w:r w:rsidR="007A44EB">
              <w:rPr>
                <w:noProof/>
                <w:webHidden/>
              </w:rPr>
              <w:t>i</w:t>
            </w:r>
            <w:r w:rsidR="007249C9">
              <w:rPr>
                <w:noProof/>
                <w:webHidden/>
              </w:rPr>
              <w:fldChar w:fldCharType="end"/>
            </w:r>
          </w:hyperlink>
        </w:p>
        <w:p w14:paraId="7F9D2EB0" w14:textId="77777777" w:rsidR="007249C9" w:rsidRDefault="006C47E4">
          <w:pPr>
            <w:pStyle w:val="TOC1"/>
            <w:tabs>
              <w:tab w:val="right" w:leader="dot" w:pos="9980"/>
            </w:tabs>
            <w:rPr>
              <w:bCs w:val="0"/>
              <w:noProof/>
              <w:lang w:eastAsia="en-US"/>
            </w:rPr>
          </w:pPr>
          <w:hyperlink w:anchor="_Toc23266813" w:history="1">
            <w:r w:rsidR="007249C9" w:rsidRPr="00907F3B">
              <w:rPr>
                <w:rStyle w:val="Hyperlink"/>
                <w:rFonts w:ascii="Times New Roman" w:hAnsi="Times New Roman" w:cs="Times New Roman"/>
                <w:noProof/>
              </w:rPr>
              <w:t>Abbreviations and Acronyms</w:t>
            </w:r>
            <w:r w:rsidR="007249C9">
              <w:rPr>
                <w:noProof/>
                <w:webHidden/>
              </w:rPr>
              <w:tab/>
            </w:r>
            <w:r w:rsidR="007249C9">
              <w:rPr>
                <w:noProof/>
                <w:webHidden/>
              </w:rPr>
              <w:fldChar w:fldCharType="begin"/>
            </w:r>
            <w:r w:rsidR="007249C9">
              <w:rPr>
                <w:noProof/>
                <w:webHidden/>
              </w:rPr>
              <w:instrText xml:space="preserve"> PAGEREF _Toc23266813 \h </w:instrText>
            </w:r>
            <w:r w:rsidR="007249C9">
              <w:rPr>
                <w:noProof/>
                <w:webHidden/>
              </w:rPr>
            </w:r>
            <w:r w:rsidR="007249C9">
              <w:rPr>
                <w:noProof/>
                <w:webHidden/>
              </w:rPr>
              <w:fldChar w:fldCharType="separate"/>
            </w:r>
            <w:r w:rsidR="007A44EB">
              <w:rPr>
                <w:noProof/>
                <w:webHidden/>
              </w:rPr>
              <w:t>ii</w:t>
            </w:r>
            <w:r w:rsidR="007249C9">
              <w:rPr>
                <w:noProof/>
                <w:webHidden/>
              </w:rPr>
              <w:fldChar w:fldCharType="end"/>
            </w:r>
          </w:hyperlink>
        </w:p>
        <w:p w14:paraId="4C150581" w14:textId="77777777" w:rsidR="007249C9" w:rsidRDefault="006C47E4">
          <w:pPr>
            <w:pStyle w:val="TOC1"/>
            <w:tabs>
              <w:tab w:val="right" w:leader="dot" w:pos="9980"/>
            </w:tabs>
            <w:rPr>
              <w:bCs w:val="0"/>
              <w:noProof/>
              <w:lang w:eastAsia="en-US"/>
            </w:rPr>
          </w:pPr>
          <w:hyperlink w:anchor="_Toc23266814" w:history="1">
            <w:r w:rsidR="007249C9" w:rsidRPr="00907F3B">
              <w:rPr>
                <w:rStyle w:val="Hyperlink"/>
                <w:rFonts w:ascii="Times New Roman" w:hAnsi="Times New Roman" w:cs="Times New Roman"/>
                <w:noProof/>
              </w:rPr>
              <w:t>LIST OF TABLES AND FIGURES</w:t>
            </w:r>
            <w:r w:rsidR="007249C9">
              <w:rPr>
                <w:noProof/>
                <w:webHidden/>
              </w:rPr>
              <w:tab/>
            </w:r>
            <w:r w:rsidR="007249C9">
              <w:rPr>
                <w:noProof/>
                <w:webHidden/>
              </w:rPr>
              <w:fldChar w:fldCharType="begin"/>
            </w:r>
            <w:r w:rsidR="007249C9">
              <w:rPr>
                <w:noProof/>
                <w:webHidden/>
              </w:rPr>
              <w:instrText xml:space="preserve"> PAGEREF _Toc23266814 \h </w:instrText>
            </w:r>
            <w:r w:rsidR="007249C9">
              <w:rPr>
                <w:noProof/>
                <w:webHidden/>
              </w:rPr>
            </w:r>
            <w:r w:rsidR="007249C9">
              <w:rPr>
                <w:noProof/>
                <w:webHidden/>
              </w:rPr>
              <w:fldChar w:fldCharType="separate"/>
            </w:r>
            <w:r w:rsidR="007A44EB">
              <w:rPr>
                <w:noProof/>
                <w:webHidden/>
              </w:rPr>
              <w:t>iii</w:t>
            </w:r>
            <w:r w:rsidR="007249C9">
              <w:rPr>
                <w:noProof/>
                <w:webHidden/>
              </w:rPr>
              <w:fldChar w:fldCharType="end"/>
            </w:r>
          </w:hyperlink>
        </w:p>
        <w:p w14:paraId="5D811189" w14:textId="77777777" w:rsidR="007249C9" w:rsidRDefault="006C47E4">
          <w:pPr>
            <w:pStyle w:val="TOC1"/>
            <w:tabs>
              <w:tab w:val="right" w:leader="dot" w:pos="9980"/>
            </w:tabs>
            <w:rPr>
              <w:bCs w:val="0"/>
              <w:noProof/>
              <w:lang w:eastAsia="en-US"/>
            </w:rPr>
          </w:pPr>
          <w:hyperlink w:anchor="_Toc23266815" w:history="1">
            <w:r w:rsidR="007249C9">
              <w:rPr>
                <w:noProof/>
                <w:webHidden/>
              </w:rPr>
              <w:tab/>
            </w:r>
            <w:r w:rsidR="007249C9">
              <w:rPr>
                <w:noProof/>
                <w:webHidden/>
              </w:rPr>
              <w:fldChar w:fldCharType="begin"/>
            </w:r>
            <w:r w:rsidR="007249C9">
              <w:rPr>
                <w:noProof/>
                <w:webHidden/>
              </w:rPr>
              <w:instrText xml:space="preserve"> PAGEREF _Toc23266815 \h </w:instrText>
            </w:r>
            <w:r w:rsidR="007249C9">
              <w:rPr>
                <w:noProof/>
                <w:webHidden/>
              </w:rPr>
            </w:r>
            <w:r w:rsidR="007249C9">
              <w:rPr>
                <w:noProof/>
                <w:webHidden/>
              </w:rPr>
              <w:fldChar w:fldCharType="separate"/>
            </w:r>
            <w:r w:rsidR="007A44EB">
              <w:rPr>
                <w:noProof/>
                <w:webHidden/>
              </w:rPr>
              <w:t>iv</w:t>
            </w:r>
            <w:r w:rsidR="007249C9">
              <w:rPr>
                <w:noProof/>
                <w:webHidden/>
              </w:rPr>
              <w:fldChar w:fldCharType="end"/>
            </w:r>
          </w:hyperlink>
        </w:p>
        <w:p w14:paraId="3B8A8F49" w14:textId="77777777" w:rsidR="007249C9" w:rsidRDefault="006C47E4">
          <w:pPr>
            <w:pStyle w:val="TOC1"/>
            <w:tabs>
              <w:tab w:val="left" w:pos="440"/>
              <w:tab w:val="right" w:leader="dot" w:pos="9980"/>
            </w:tabs>
            <w:rPr>
              <w:bCs w:val="0"/>
              <w:noProof/>
              <w:lang w:eastAsia="en-US"/>
            </w:rPr>
          </w:pPr>
          <w:hyperlink w:anchor="_Toc23266816" w:history="1">
            <w:r w:rsidR="007249C9" w:rsidRPr="00907F3B">
              <w:rPr>
                <w:rStyle w:val="Hyperlink"/>
                <w:noProof/>
              </w:rPr>
              <w:t>1.</w:t>
            </w:r>
            <w:r w:rsidR="007249C9">
              <w:rPr>
                <w:bCs w:val="0"/>
                <w:noProof/>
                <w:lang w:eastAsia="en-US"/>
              </w:rPr>
              <w:tab/>
            </w:r>
            <w:r w:rsidR="007249C9" w:rsidRPr="00907F3B">
              <w:rPr>
                <w:rStyle w:val="Hyperlink"/>
                <w:noProof/>
              </w:rPr>
              <w:t>INTRODUCTION</w:t>
            </w:r>
            <w:r w:rsidR="007249C9">
              <w:rPr>
                <w:noProof/>
                <w:webHidden/>
              </w:rPr>
              <w:tab/>
            </w:r>
            <w:r w:rsidR="007249C9">
              <w:rPr>
                <w:noProof/>
                <w:webHidden/>
              </w:rPr>
              <w:fldChar w:fldCharType="begin"/>
            </w:r>
            <w:r w:rsidR="007249C9">
              <w:rPr>
                <w:noProof/>
                <w:webHidden/>
              </w:rPr>
              <w:instrText xml:space="preserve"> PAGEREF _Toc23266816 \h </w:instrText>
            </w:r>
            <w:r w:rsidR="007249C9">
              <w:rPr>
                <w:noProof/>
                <w:webHidden/>
              </w:rPr>
            </w:r>
            <w:r w:rsidR="007249C9">
              <w:rPr>
                <w:noProof/>
                <w:webHidden/>
              </w:rPr>
              <w:fldChar w:fldCharType="separate"/>
            </w:r>
            <w:r w:rsidR="007A44EB">
              <w:rPr>
                <w:noProof/>
                <w:webHidden/>
              </w:rPr>
              <w:t>6</w:t>
            </w:r>
            <w:r w:rsidR="007249C9">
              <w:rPr>
                <w:noProof/>
                <w:webHidden/>
              </w:rPr>
              <w:fldChar w:fldCharType="end"/>
            </w:r>
          </w:hyperlink>
        </w:p>
        <w:p w14:paraId="4DA7A72E" w14:textId="77777777" w:rsidR="007249C9" w:rsidRDefault="006C47E4">
          <w:pPr>
            <w:pStyle w:val="TOC2"/>
            <w:tabs>
              <w:tab w:val="right" w:leader="dot" w:pos="9980"/>
            </w:tabs>
            <w:rPr>
              <w:noProof/>
              <w:lang w:eastAsia="en-US"/>
            </w:rPr>
          </w:pPr>
          <w:hyperlink w:anchor="_Toc23266817" w:history="1">
            <w:r w:rsidR="007249C9" w:rsidRPr="00907F3B">
              <w:rPr>
                <w:rStyle w:val="Hyperlink"/>
                <w:rFonts w:ascii="Times New Roman" w:hAnsi="Times New Roman" w:cs="Times New Roman"/>
                <w:noProof/>
              </w:rPr>
              <w:t>1.1 Objectives of CBROP</w:t>
            </w:r>
            <w:r w:rsidR="007249C9">
              <w:rPr>
                <w:noProof/>
                <w:webHidden/>
              </w:rPr>
              <w:tab/>
            </w:r>
            <w:r w:rsidR="007249C9">
              <w:rPr>
                <w:noProof/>
                <w:webHidden/>
              </w:rPr>
              <w:fldChar w:fldCharType="begin"/>
            </w:r>
            <w:r w:rsidR="007249C9">
              <w:rPr>
                <w:noProof/>
                <w:webHidden/>
              </w:rPr>
              <w:instrText xml:space="preserve"> PAGEREF _Toc23266817 \h </w:instrText>
            </w:r>
            <w:r w:rsidR="007249C9">
              <w:rPr>
                <w:noProof/>
                <w:webHidden/>
              </w:rPr>
            </w:r>
            <w:r w:rsidR="007249C9">
              <w:rPr>
                <w:noProof/>
                <w:webHidden/>
              </w:rPr>
              <w:fldChar w:fldCharType="separate"/>
            </w:r>
            <w:r w:rsidR="007A44EB">
              <w:rPr>
                <w:noProof/>
                <w:webHidden/>
              </w:rPr>
              <w:t>6</w:t>
            </w:r>
            <w:r w:rsidR="007249C9">
              <w:rPr>
                <w:noProof/>
                <w:webHidden/>
              </w:rPr>
              <w:fldChar w:fldCharType="end"/>
            </w:r>
          </w:hyperlink>
        </w:p>
        <w:p w14:paraId="33C56A60" w14:textId="77777777" w:rsidR="007249C9" w:rsidRDefault="006C47E4">
          <w:pPr>
            <w:pStyle w:val="TOC2"/>
            <w:tabs>
              <w:tab w:val="right" w:leader="dot" w:pos="9980"/>
            </w:tabs>
            <w:rPr>
              <w:noProof/>
              <w:lang w:eastAsia="en-US"/>
            </w:rPr>
          </w:pPr>
          <w:hyperlink w:anchor="_Toc23266818" w:history="1">
            <w:r w:rsidR="007249C9" w:rsidRPr="00907F3B">
              <w:rPr>
                <w:rStyle w:val="Hyperlink"/>
                <w:rFonts w:ascii="Times New Roman" w:hAnsi="Times New Roman" w:cs="Times New Roman"/>
                <w:noProof/>
              </w:rPr>
              <w:t>1.2 Significance of CBROP</w:t>
            </w:r>
            <w:r w:rsidR="007249C9">
              <w:rPr>
                <w:noProof/>
                <w:webHidden/>
              </w:rPr>
              <w:tab/>
            </w:r>
            <w:r w:rsidR="007249C9">
              <w:rPr>
                <w:noProof/>
                <w:webHidden/>
              </w:rPr>
              <w:fldChar w:fldCharType="begin"/>
            </w:r>
            <w:r w:rsidR="007249C9">
              <w:rPr>
                <w:noProof/>
                <w:webHidden/>
              </w:rPr>
              <w:instrText xml:space="preserve"> PAGEREF _Toc23266818 \h </w:instrText>
            </w:r>
            <w:r w:rsidR="007249C9">
              <w:rPr>
                <w:noProof/>
                <w:webHidden/>
              </w:rPr>
            </w:r>
            <w:r w:rsidR="007249C9">
              <w:rPr>
                <w:noProof/>
                <w:webHidden/>
              </w:rPr>
              <w:fldChar w:fldCharType="separate"/>
            </w:r>
            <w:r w:rsidR="007A44EB">
              <w:rPr>
                <w:noProof/>
                <w:webHidden/>
              </w:rPr>
              <w:t>6</w:t>
            </w:r>
            <w:r w:rsidR="007249C9">
              <w:rPr>
                <w:noProof/>
                <w:webHidden/>
              </w:rPr>
              <w:fldChar w:fldCharType="end"/>
            </w:r>
          </w:hyperlink>
        </w:p>
        <w:p w14:paraId="378EB679" w14:textId="77777777" w:rsidR="007249C9" w:rsidRDefault="006C47E4">
          <w:pPr>
            <w:pStyle w:val="TOC2"/>
            <w:tabs>
              <w:tab w:val="right" w:leader="dot" w:pos="9980"/>
            </w:tabs>
            <w:rPr>
              <w:noProof/>
              <w:lang w:eastAsia="en-US"/>
            </w:rPr>
          </w:pPr>
          <w:hyperlink w:anchor="_Toc23266819" w:history="1">
            <w:r w:rsidR="007249C9" w:rsidRPr="00907F3B">
              <w:rPr>
                <w:rStyle w:val="Hyperlink"/>
                <w:rFonts w:ascii="Times New Roman" w:hAnsi="Times New Roman" w:cs="Times New Roman"/>
                <w:noProof/>
              </w:rPr>
              <w:t>1.3 Structure</w:t>
            </w:r>
            <w:r w:rsidR="007249C9">
              <w:rPr>
                <w:noProof/>
                <w:webHidden/>
              </w:rPr>
              <w:tab/>
            </w:r>
            <w:r w:rsidR="007249C9">
              <w:rPr>
                <w:noProof/>
                <w:webHidden/>
              </w:rPr>
              <w:fldChar w:fldCharType="begin"/>
            </w:r>
            <w:r w:rsidR="007249C9">
              <w:rPr>
                <w:noProof/>
                <w:webHidden/>
              </w:rPr>
              <w:instrText xml:space="preserve"> PAGEREF _Toc23266819 \h </w:instrText>
            </w:r>
            <w:r w:rsidR="007249C9">
              <w:rPr>
                <w:noProof/>
                <w:webHidden/>
              </w:rPr>
            </w:r>
            <w:r w:rsidR="007249C9">
              <w:rPr>
                <w:noProof/>
                <w:webHidden/>
              </w:rPr>
              <w:fldChar w:fldCharType="separate"/>
            </w:r>
            <w:r w:rsidR="007A44EB">
              <w:rPr>
                <w:noProof/>
                <w:webHidden/>
              </w:rPr>
              <w:t>7</w:t>
            </w:r>
            <w:r w:rsidR="007249C9">
              <w:rPr>
                <w:noProof/>
                <w:webHidden/>
              </w:rPr>
              <w:fldChar w:fldCharType="end"/>
            </w:r>
          </w:hyperlink>
        </w:p>
        <w:p w14:paraId="78FB1260" w14:textId="77777777" w:rsidR="007249C9" w:rsidRDefault="006C47E4">
          <w:pPr>
            <w:pStyle w:val="TOC1"/>
            <w:tabs>
              <w:tab w:val="left" w:pos="440"/>
              <w:tab w:val="right" w:leader="dot" w:pos="9980"/>
            </w:tabs>
            <w:rPr>
              <w:bCs w:val="0"/>
              <w:noProof/>
              <w:lang w:eastAsia="en-US"/>
            </w:rPr>
          </w:pPr>
          <w:hyperlink w:anchor="_Toc23266820" w:history="1">
            <w:r w:rsidR="007249C9" w:rsidRPr="00907F3B">
              <w:rPr>
                <w:rStyle w:val="Hyperlink"/>
                <w:rFonts w:ascii="Times New Roman" w:hAnsi="Times New Roman" w:cs="Times New Roman"/>
                <w:noProof/>
              </w:rPr>
              <w:t>2.</w:t>
            </w:r>
            <w:r w:rsidR="007249C9">
              <w:rPr>
                <w:bCs w:val="0"/>
                <w:noProof/>
                <w:lang w:eastAsia="en-US"/>
              </w:rPr>
              <w:tab/>
            </w:r>
            <w:r w:rsidR="007249C9" w:rsidRPr="00907F3B">
              <w:rPr>
                <w:rStyle w:val="Hyperlink"/>
                <w:rFonts w:ascii="Times New Roman" w:hAnsi="Times New Roman" w:cs="Times New Roman"/>
                <w:noProof/>
              </w:rPr>
              <w:t>REVIEW OF COUNTY FISCAL PERFORMANCE IN 2018/19 FY</w:t>
            </w:r>
            <w:r w:rsidR="007249C9">
              <w:rPr>
                <w:noProof/>
                <w:webHidden/>
              </w:rPr>
              <w:tab/>
            </w:r>
            <w:r w:rsidR="007249C9">
              <w:rPr>
                <w:noProof/>
                <w:webHidden/>
              </w:rPr>
              <w:fldChar w:fldCharType="begin"/>
            </w:r>
            <w:r w:rsidR="007249C9">
              <w:rPr>
                <w:noProof/>
                <w:webHidden/>
              </w:rPr>
              <w:instrText xml:space="preserve"> PAGEREF _Toc23266820 \h </w:instrText>
            </w:r>
            <w:r w:rsidR="007249C9">
              <w:rPr>
                <w:noProof/>
                <w:webHidden/>
              </w:rPr>
            </w:r>
            <w:r w:rsidR="007249C9">
              <w:rPr>
                <w:noProof/>
                <w:webHidden/>
              </w:rPr>
              <w:fldChar w:fldCharType="separate"/>
            </w:r>
            <w:r w:rsidR="007A44EB">
              <w:rPr>
                <w:noProof/>
                <w:webHidden/>
              </w:rPr>
              <w:t>8</w:t>
            </w:r>
            <w:r w:rsidR="007249C9">
              <w:rPr>
                <w:noProof/>
                <w:webHidden/>
              </w:rPr>
              <w:fldChar w:fldCharType="end"/>
            </w:r>
          </w:hyperlink>
        </w:p>
        <w:p w14:paraId="52FCE595" w14:textId="77777777" w:rsidR="007249C9" w:rsidRDefault="006C47E4">
          <w:pPr>
            <w:pStyle w:val="TOC2"/>
            <w:tabs>
              <w:tab w:val="right" w:leader="dot" w:pos="9980"/>
            </w:tabs>
            <w:rPr>
              <w:noProof/>
              <w:lang w:eastAsia="en-US"/>
            </w:rPr>
          </w:pPr>
          <w:hyperlink w:anchor="_Toc23266824" w:history="1">
            <w:r w:rsidR="007249C9" w:rsidRPr="00907F3B">
              <w:rPr>
                <w:rStyle w:val="Hyperlink"/>
                <w:rFonts w:ascii="Times New Roman" w:hAnsi="Times New Roman" w:cs="Times New Roman"/>
                <w:noProof/>
              </w:rPr>
              <w:t>2.1 Overview</w:t>
            </w:r>
            <w:r w:rsidR="007249C9">
              <w:rPr>
                <w:noProof/>
                <w:webHidden/>
              </w:rPr>
              <w:tab/>
            </w:r>
            <w:r w:rsidR="007249C9">
              <w:rPr>
                <w:noProof/>
                <w:webHidden/>
              </w:rPr>
              <w:fldChar w:fldCharType="begin"/>
            </w:r>
            <w:r w:rsidR="007249C9">
              <w:rPr>
                <w:noProof/>
                <w:webHidden/>
              </w:rPr>
              <w:instrText xml:space="preserve"> PAGEREF _Toc23266824 \h </w:instrText>
            </w:r>
            <w:r w:rsidR="007249C9">
              <w:rPr>
                <w:noProof/>
                <w:webHidden/>
              </w:rPr>
            </w:r>
            <w:r w:rsidR="007249C9">
              <w:rPr>
                <w:noProof/>
                <w:webHidden/>
              </w:rPr>
              <w:fldChar w:fldCharType="separate"/>
            </w:r>
            <w:r w:rsidR="007A44EB">
              <w:rPr>
                <w:noProof/>
                <w:webHidden/>
              </w:rPr>
              <w:t>8</w:t>
            </w:r>
            <w:r w:rsidR="007249C9">
              <w:rPr>
                <w:noProof/>
                <w:webHidden/>
              </w:rPr>
              <w:fldChar w:fldCharType="end"/>
            </w:r>
          </w:hyperlink>
        </w:p>
        <w:p w14:paraId="4B0076F2" w14:textId="77777777" w:rsidR="007249C9" w:rsidRDefault="006C47E4">
          <w:pPr>
            <w:pStyle w:val="TOC2"/>
            <w:tabs>
              <w:tab w:val="right" w:leader="dot" w:pos="9980"/>
            </w:tabs>
            <w:rPr>
              <w:noProof/>
              <w:lang w:eastAsia="en-US"/>
            </w:rPr>
          </w:pPr>
          <w:hyperlink w:anchor="_Toc23266825" w:history="1">
            <w:r w:rsidR="007249C9" w:rsidRPr="00907F3B">
              <w:rPr>
                <w:rStyle w:val="Hyperlink"/>
                <w:rFonts w:ascii="Times New Roman" w:hAnsi="Times New Roman" w:cs="Times New Roman"/>
                <w:noProof/>
              </w:rPr>
              <w:t>2.2 Fiscal Performance</w:t>
            </w:r>
            <w:r w:rsidR="007249C9">
              <w:rPr>
                <w:noProof/>
                <w:webHidden/>
              </w:rPr>
              <w:tab/>
            </w:r>
            <w:r w:rsidR="007249C9">
              <w:rPr>
                <w:noProof/>
                <w:webHidden/>
              </w:rPr>
              <w:fldChar w:fldCharType="begin"/>
            </w:r>
            <w:r w:rsidR="007249C9">
              <w:rPr>
                <w:noProof/>
                <w:webHidden/>
              </w:rPr>
              <w:instrText xml:space="preserve"> PAGEREF _Toc23266825 \h </w:instrText>
            </w:r>
            <w:r w:rsidR="007249C9">
              <w:rPr>
                <w:noProof/>
                <w:webHidden/>
              </w:rPr>
            </w:r>
            <w:r w:rsidR="007249C9">
              <w:rPr>
                <w:noProof/>
                <w:webHidden/>
              </w:rPr>
              <w:fldChar w:fldCharType="separate"/>
            </w:r>
            <w:r w:rsidR="007A44EB">
              <w:rPr>
                <w:noProof/>
                <w:webHidden/>
              </w:rPr>
              <w:t>9</w:t>
            </w:r>
            <w:r w:rsidR="007249C9">
              <w:rPr>
                <w:noProof/>
                <w:webHidden/>
              </w:rPr>
              <w:fldChar w:fldCharType="end"/>
            </w:r>
          </w:hyperlink>
        </w:p>
        <w:p w14:paraId="6BDFF861" w14:textId="77777777" w:rsidR="007249C9" w:rsidRDefault="006C47E4">
          <w:pPr>
            <w:pStyle w:val="TOC2"/>
            <w:tabs>
              <w:tab w:val="right" w:leader="dot" w:pos="9980"/>
            </w:tabs>
            <w:rPr>
              <w:noProof/>
              <w:lang w:eastAsia="en-US"/>
            </w:rPr>
          </w:pPr>
          <w:hyperlink w:anchor="_Toc23266826" w:history="1">
            <w:r w:rsidR="007249C9" w:rsidRPr="00907F3B">
              <w:rPr>
                <w:rStyle w:val="Hyperlink"/>
                <w:rFonts w:ascii="Times New Roman" w:hAnsi="Times New Roman" w:cs="Times New Roman"/>
                <w:noProof/>
              </w:rPr>
              <w:t>2.3 Revenue Performance</w:t>
            </w:r>
            <w:r w:rsidR="007249C9">
              <w:rPr>
                <w:noProof/>
                <w:webHidden/>
              </w:rPr>
              <w:tab/>
            </w:r>
            <w:r w:rsidR="007249C9">
              <w:rPr>
                <w:noProof/>
                <w:webHidden/>
              </w:rPr>
              <w:fldChar w:fldCharType="begin"/>
            </w:r>
            <w:r w:rsidR="007249C9">
              <w:rPr>
                <w:noProof/>
                <w:webHidden/>
              </w:rPr>
              <w:instrText xml:space="preserve"> PAGEREF _Toc23266826 \h </w:instrText>
            </w:r>
            <w:r w:rsidR="007249C9">
              <w:rPr>
                <w:noProof/>
                <w:webHidden/>
              </w:rPr>
            </w:r>
            <w:r w:rsidR="007249C9">
              <w:rPr>
                <w:noProof/>
                <w:webHidden/>
              </w:rPr>
              <w:fldChar w:fldCharType="separate"/>
            </w:r>
            <w:r w:rsidR="007A44EB">
              <w:rPr>
                <w:noProof/>
                <w:webHidden/>
              </w:rPr>
              <w:t>9</w:t>
            </w:r>
            <w:r w:rsidR="007249C9">
              <w:rPr>
                <w:noProof/>
                <w:webHidden/>
              </w:rPr>
              <w:fldChar w:fldCharType="end"/>
            </w:r>
          </w:hyperlink>
        </w:p>
        <w:p w14:paraId="0A48929C" w14:textId="77777777" w:rsidR="007249C9" w:rsidRDefault="006C47E4">
          <w:pPr>
            <w:pStyle w:val="TOC2"/>
            <w:tabs>
              <w:tab w:val="right" w:leader="dot" w:pos="9980"/>
            </w:tabs>
            <w:rPr>
              <w:noProof/>
              <w:lang w:eastAsia="en-US"/>
            </w:rPr>
          </w:pPr>
          <w:hyperlink w:anchor="_Toc23266827" w:history="1">
            <w:r w:rsidR="007249C9" w:rsidRPr="00907F3B">
              <w:rPr>
                <w:rStyle w:val="Hyperlink"/>
                <w:noProof/>
              </w:rPr>
              <w:t>2.4 Expenditure Performance</w:t>
            </w:r>
            <w:r w:rsidR="007249C9">
              <w:rPr>
                <w:noProof/>
                <w:webHidden/>
              </w:rPr>
              <w:tab/>
            </w:r>
            <w:r w:rsidR="007249C9">
              <w:rPr>
                <w:noProof/>
                <w:webHidden/>
              </w:rPr>
              <w:fldChar w:fldCharType="begin"/>
            </w:r>
            <w:r w:rsidR="007249C9">
              <w:rPr>
                <w:noProof/>
                <w:webHidden/>
              </w:rPr>
              <w:instrText xml:space="preserve"> PAGEREF _Toc23266827 \h </w:instrText>
            </w:r>
            <w:r w:rsidR="007249C9">
              <w:rPr>
                <w:noProof/>
                <w:webHidden/>
              </w:rPr>
            </w:r>
            <w:r w:rsidR="007249C9">
              <w:rPr>
                <w:noProof/>
                <w:webHidden/>
              </w:rPr>
              <w:fldChar w:fldCharType="separate"/>
            </w:r>
            <w:r w:rsidR="007A44EB">
              <w:rPr>
                <w:noProof/>
                <w:webHidden/>
              </w:rPr>
              <w:t>11</w:t>
            </w:r>
            <w:r w:rsidR="007249C9">
              <w:rPr>
                <w:noProof/>
                <w:webHidden/>
              </w:rPr>
              <w:fldChar w:fldCharType="end"/>
            </w:r>
          </w:hyperlink>
        </w:p>
        <w:p w14:paraId="1D2D1768" w14:textId="77777777" w:rsidR="007249C9" w:rsidRDefault="006C47E4">
          <w:pPr>
            <w:pStyle w:val="TOC2"/>
            <w:tabs>
              <w:tab w:val="right" w:leader="dot" w:pos="9980"/>
            </w:tabs>
            <w:rPr>
              <w:noProof/>
              <w:lang w:eastAsia="en-US"/>
            </w:rPr>
          </w:pPr>
          <w:hyperlink w:anchor="_Toc23266828" w:history="1">
            <w:r w:rsidR="007249C9" w:rsidRPr="00907F3B">
              <w:rPr>
                <w:rStyle w:val="Hyperlink"/>
                <w:rFonts w:ascii="Times New Roman" w:hAnsi="Times New Roman" w:cs="Times New Roman"/>
                <w:noProof/>
                <w:w w:val="112"/>
              </w:rPr>
              <w:t>2.5 Fiscal balance</w:t>
            </w:r>
            <w:r w:rsidR="007249C9">
              <w:rPr>
                <w:noProof/>
                <w:webHidden/>
              </w:rPr>
              <w:tab/>
            </w:r>
            <w:r w:rsidR="007249C9">
              <w:rPr>
                <w:noProof/>
                <w:webHidden/>
              </w:rPr>
              <w:fldChar w:fldCharType="begin"/>
            </w:r>
            <w:r w:rsidR="007249C9">
              <w:rPr>
                <w:noProof/>
                <w:webHidden/>
              </w:rPr>
              <w:instrText xml:space="preserve"> PAGEREF _Toc23266828 \h </w:instrText>
            </w:r>
            <w:r w:rsidR="007249C9">
              <w:rPr>
                <w:noProof/>
                <w:webHidden/>
              </w:rPr>
            </w:r>
            <w:r w:rsidR="007249C9">
              <w:rPr>
                <w:noProof/>
                <w:webHidden/>
              </w:rPr>
              <w:fldChar w:fldCharType="separate"/>
            </w:r>
            <w:r w:rsidR="007A44EB">
              <w:rPr>
                <w:noProof/>
                <w:webHidden/>
              </w:rPr>
              <w:t>12</w:t>
            </w:r>
            <w:r w:rsidR="007249C9">
              <w:rPr>
                <w:noProof/>
                <w:webHidden/>
              </w:rPr>
              <w:fldChar w:fldCharType="end"/>
            </w:r>
          </w:hyperlink>
        </w:p>
        <w:p w14:paraId="65E7B51D" w14:textId="77777777" w:rsidR="007249C9" w:rsidRDefault="006C47E4">
          <w:pPr>
            <w:pStyle w:val="TOC1"/>
            <w:tabs>
              <w:tab w:val="left" w:pos="440"/>
              <w:tab w:val="right" w:leader="dot" w:pos="9980"/>
            </w:tabs>
            <w:rPr>
              <w:bCs w:val="0"/>
              <w:noProof/>
              <w:lang w:eastAsia="en-US"/>
            </w:rPr>
          </w:pPr>
          <w:hyperlink w:anchor="_Toc23266829" w:history="1">
            <w:r w:rsidR="007249C9" w:rsidRPr="00907F3B">
              <w:rPr>
                <w:rStyle w:val="Hyperlink"/>
                <w:rFonts w:ascii="Times New Roman" w:hAnsi="Times New Roman" w:cs="Times New Roman"/>
                <w:noProof/>
              </w:rPr>
              <w:t>3.</w:t>
            </w:r>
            <w:r w:rsidR="007249C9">
              <w:rPr>
                <w:bCs w:val="0"/>
                <w:noProof/>
                <w:lang w:eastAsia="en-US"/>
              </w:rPr>
              <w:tab/>
            </w:r>
            <w:r w:rsidR="007249C9" w:rsidRPr="00907F3B">
              <w:rPr>
                <w:rStyle w:val="Hyperlink"/>
                <w:rFonts w:ascii="Times New Roman" w:hAnsi="Times New Roman" w:cs="Times New Roman"/>
                <w:noProof/>
              </w:rPr>
              <w:t>RECENT ECONOMIC DEVELOPMENTS AND OUTLOOK</w:t>
            </w:r>
            <w:r w:rsidR="007249C9">
              <w:rPr>
                <w:noProof/>
                <w:webHidden/>
              </w:rPr>
              <w:tab/>
            </w:r>
            <w:r w:rsidR="007249C9">
              <w:rPr>
                <w:noProof/>
                <w:webHidden/>
              </w:rPr>
              <w:fldChar w:fldCharType="begin"/>
            </w:r>
            <w:r w:rsidR="007249C9">
              <w:rPr>
                <w:noProof/>
                <w:webHidden/>
              </w:rPr>
              <w:instrText xml:space="preserve"> PAGEREF _Toc23266829 \h </w:instrText>
            </w:r>
            <w:r w:rsidR="007249C9">
              <w:rPr>
                <w:noProof/>
                <w:webHidden/>
              </w:rPr>
            </w:r>
            <w:r w:rsidR="007249C9">
              <w:rPr>
                <w:noProof/>
                <w:webHidden/>
              </w:rPr>
              <w:fldChar w:fldCharType="separate"/>
            </w:r>
            <w:r w:rsidR="007A44EB">
              <w:rPr>
                <w:noProof/>
                <w:webHidden/>
              </w:rPr>
              <w:t>15</w:t>
            </w:r>
            <w:r w:rsidR="007249C9">
              <w:rPr>
                <w:noProof/>
                <w:webHidden/>
              </w:rPr>
              <w:fldChar w:fldCharType="end"/>
            </w:r>
          </w:hyperlink>
        </w:p>
        <w:p w14:paraId="051C0C8E" w14:textId="77777777" w:rsidR="007249C9" w:rsidRDefault="006C47E4">
          <w:pPr>
            <w:pStyle w:val="TOC2"/>
            <w:tabs>
              <w:tab w:val="left" w:pos="880"/>
              <w:tab w:val="right" w:leader="dot" w:pos="9980"/>
            </w:tabs>
            <w:rPr>
              <w:noProof/>
              <w:lang w:eastAsia="en-US"/>
            </w:rPr>
          </w:pPr>
          <w:hyperlink w:anchor="_Toc23266830" w:history="1">
            <w:r w:rsidR="007249C9" w:rsidRPr="00907F3B">
              <w:rPr>
                <w:rStyle w:val="Hyperlink"/>
                <w:rFonts w:ascii="Times New Roman" w:eastAsiaTheme="minorHAnsi" w:hAnsi="Times New Roman" w:cs="Times New Roman"/>
                <w:noProof/>
              </w:rPr>
              <w:t>3.1</w:t>
            </w:r>
            <w:r w:rsidR="007249C9">
              <w:rPr>
                <w:noProof/>
                <w:lang w:eastAsia="en-US"/>
              </w:rPr>
              <w:tab/>
            </w:r>
            <w:r w:rsidR="007249C9" w:rsidRPr="00907F3B">
              <w:rPr>
                <w:rStyle w:val="Hyperlink"/>
                <w:rFonts w:ascii="Times New Roman" w:eastAsiaTheme="minorHAnsi" w:hAnsi="Times New Roman" w:cs="Times New Roman"/>
                <w:noProof/>
              </w:rPr>
              <w:t>overview</w:t>
            </w:r>
            <w:r w:rsidR="007249C9">
              <w:rPr>
                <w:noProof/>
                <w:webHidden/>
              </w:rPr>
              <w:tab/>
            </w:r>
            <w:r w:rsidR="007249C9">
              <w:rPr>
                <w:noProof/>
                <w:webHidden/>
              </w:rPr>
              <w:fldChar w:fldCharType="begin"/>
            </w:r>
            <w:r w:rsidR="007249C9">
              <w:rPr>
                <w:noProof/>
                <w:webHidden/>
              </w:rPr>
              <w:instrText xml:space="preserve"> PAGEREF _Toc23266830 \h </w:instrText>
            </w:r>
            <w:r w:rsidR="007249C9">
              <w:rPr>
                <w:noProof/>
                <w:webHidden/>
              </w:rPr>
            </w:r>
            <w:r w:rsidR="007249C9">
              <w:rPr>
                <w:noProof/>
                <w:webHidden/>
              </w:rPr>
              <w:fldChar w:fldCharType="separate"/>
            </w:r>
            <w:r w:rsidR="007A44EB">
              <w:rPr>
                <w:noProof/>
                <w:webHidden/>
              </w:rPr>
              <w:t>15</w:t>
            </w:r>
            <w:r w:rsidR="007249C9">
              <w:rPr>
                <w:noProof/>
                <w:webHidden/>
              </w:rPr>
              <w:fldChar w:fldCharType="end"/>
            </w:r>
          </w:hyperlink>
        </w:p>
        <w:p w14:paraId="201A5018" w14:textId="77777777" w:rsidR="007249C9" w:rsidRDefault="006C47E4">
          <w:pPr>
            <w:pStyle w:val="TOC2"/>
            <w:tabs>
              <w:tab w:val="left" w:pos="880"/>
              <w:tab w:val="right" w:leader="dot" w:pos="9980"/>
            </w:tabs>
            <w:rPr>
              <w:noProof/>
              <w:lang w:eastAsia="en-US"/>
            </w:rPr>
          </w:pPr>
          <w:hyperlink w:anchor="_Toc23266831" w:history="1">
            <w:r w:rsidR="007249C9" w:rsidRPr="00907F3B">
              <w:rPr>
                <w:rStyle w:val="Hyperlink"/>
                <w:rFonts w:ascii="Times New Roman" w:eastAsiaTheme="minorHAnsi" w:hAnsi="Times New Roman" w:cs="Times New Roman"/>
                <w:noProof/>
              </w:rPr>
              <w:t>3.2</w:t>
            </w:r>
            <w:r w:rsidR="007249C9">
              <w:rPr>
                <w:noProof/>
                <w:lang w:eastAsia="en-US"/>
              </w:rPr>
              <w:tab/>
            </w:r>
            <w:r w:rsidR="007249C9" w:rsidRPr="00907F3B">
              <w:rPr>
                <w:rStyle w:val="Hyperlink"/>
                <w:rFonts w:ascii="Times New Roman" w:eastAsiaTheme="minorHAnsi" w:hAnsi="Times New Roman" w:cs="Times New Roman"/>
                <w:noProof/>
              </w:rPr>
              <w:t>County Economic Outlook and Policies</w:t>
            </w:r>
            <w:r w:rsidR="007249C9">
              <w:rPr>
                <w:noProof/>
                <w:webHidden/>
              </w:rPr>
              <w:tab/>
            </w:r>
            <w:r w:rsidR="007249C9">
              <w:rPr>
                <w:noProof/>
                <w:webHidden/>
              </w:rPr>
              <w:fldChar w:fldCharType="begin"/>
            </w:r>
            <w:r w:rsidR="007249C9">
              <w:rPr>
                <w:noProof/>
                <w:webHidden/>
              </w:rPr>
              <w:instrText xml:space="preserve"> PAGEREF _Toc23266831 \h </w:instrText>
            </w:r>
            <w:r w:rsidR="007249C9">
              <w:rPr>
                <w:noProof/>
                <w:webHidden/>
              </w:rPr>
            </w:r>
            <w:r w:rsidR="007249C9">
              <w:rPr>
                <w:noProof/>
                <w:webHidden/>
              </w:rPr>
              <w:fldChar w:fldCharType="separate"/>
            </w:r>
            <w:r w:rsidR="007A44EB">
              <w:rPr>
                <w:noProof/>
                <w:webHidden/>
              </w:rPr>
              <w:t>16</w:t>
            </w:r>
            <w:r w:rsidR="007249C9">
              <w:rPr>
                <w:noProof/>
                <w:webHidden/>
              </w:rPr>
              <w:fldChar w:fldCharType="end"/>
            </w:r>
          </w:hyperlink>
        </w:p>
        <w:p w14:paraId="2C7F7E83" w14:textId="77777777" w:rsidR="007249C9" w:rsidRDefault="006C47E4">
          <w:pPr>
            <w:pStyle w:val="TOC3"/>
            <w:tabs>
              <w:tab w:val="left" w:pos="1320"/>
              <w:tab w:val="right" w:leader="dot" w:pos="9980"/>
            </w:tabs>
            <w:rPr>
              <w:noProof/>
              <w:lang w:eastAsia="en-US"/>
            </w:rPr>
          </w:pPr>
          <w:hyperlink w:anchor="_Toc23266832" w:history="1">
            <w:r w:rsidR="007249C9" w:rsidRPr="00907F3B">
              <w:rPr>
                <w:rStyle w:val="Hyperlink"/>
                <w:rFonts w:ascii="Times New Roman" w:eastAsiaTheme="minorHAnsi" w:hAnsi="Times New Roman" w:cs="Times New Roman"/>
                <w:noProof/>
              </w:rPr>
              <w:t>3.2.1</w:t>
            </w:r>
            <w:r w:rsidR="007249C9">
              <w:rPr>
                <w:noProof/>
                <w:lang w:eastAsia="en-US"/>
              </w:rPr>
              <w:tab/>
            </w:r>
            <w:r w:rsidR="007249C9" w:rsidRPr="00907F3B">
              <w:rPr>
                <w:rStyle w:val="Hyperlink"/>
                <w:rFonts w:ascii="Times New Roman" w:eastAsiaTheme="minorHAnsi" w:hAnsi="Times New Roman" w:cs="Times New Roman"/>
                <w:noProof/>
              </w:rPr>
              <w:t>Agriculture Rural and Urban Development</w:t>
            </w:r>
            <w:r w:rsidR="007249C9">
              <w:rPr>
                <w:noProof/>
                <w:webHidden/>
              </w:rPr>
              <w:tab/>
            </w:r>
            <w:r w:rsidR="007249C9">
              <w:rPr>
                <w:noProof/>
                <w:webHidden/>
              </w:rPr>
              <w:fldChar w:fldCharType="begin"/>
            </w:r>
            <w:r w:rsidR="007249C9">
              <w:rPr>
                <w:noProof/>
                <w:webHidden/>
              </w:rPr>
              <w:instrText xml:space="preserve"> PAGEREF _Toc23266832 \h </w:instrText>
            </w:r>
            <w:r w:rsidR="007249C9">
              <w:rPr>
                <w:noProof/>
                <w:webHidden/>
              </w:rPr>
            </w:r>
            <w:r w:rsidR="007249C9">
              <w:rPr>
                <w:noProof/>
                <w:webHidden/>
              </w:rPr>
              <w:fldChar w:fldCharType="separate"/>
            </w:r>
            <w:r w:rsidR="007A44EB">
              <w:rPr>
                <w:noProof/>
                <w:webHidden/>
              </w:rPr>
              <w:t>16</w:t>
            </w:r>
            <w:r w:rsidR="007249C9">
              <w:rPr>
                <w:noProof/>
                <w:webHidden/>
              </w:rPr>
              <w:fldChar w:fldCharType="end"/>
            </w:r>
          </w:hyperlink>
        </w:p>
        <w:p w14:paraId="3225409B" w14:textId="77777777" w:rsidR="007249C9" w:rsidRDefault="006C47E4">
          <w:pPr>
            <w:pStyle w:val="TOC3"/>
            <w:tabs>
              <w:tab w:val="right" w:leader="dot" w:pos="9980"/>
            </w:tabs>
            <w:rPr>
              <w:noProof/>
              <w:lang w:eastAsia="en-US"/>
            </w:rPr>
          </w:pPr>
          <w:hyperlink w:anchor="_Toc23266833" w:history="1">
            <w:r w:rsidR="007249C9" w:rsidRPr="00907F3B">
              <w:rPr>
                <w:rStyle w:val="Hyperlink"/>
                <w:rFonts w:eastAsiaTheme="minorHAnsi"/>
                <w:noProof/>
              </w:rPr>
              <w:t>3.2.2 Energy, Infrastructure and ICT</w:t>
            </w:r>
            <w:r w:rsidR="007249C9">
              <w:rPr>
                <w:noProof/>
                <w:webHidden/>
              </w:rPr>
              <w:tab/>
            </w:r>
            <w:r w:rsidR="007249C9">
              <w:rPr>
                <w:noProof/>
                <w:webHidden/>
              </w:rPr>
              <w:fldChar w:fldCharType="begin"/>
            </w:r>
            <w:r w:rsidR="007249C9">
              <w:rPr>
                <w:noProof/>
                <w:webHidden/>
              </w:rPr>
              <w:instrText xml:space="preserve"> PAGEREF _Toc23266833 \h </w:instrText>
            </w:r>
            <w:r w:rsidR="007249C9">
              <w:rPr>
                <w:noProof/>
                <w:webHidden/>
              </w:rPr>
            </w:r>
            <w:r w:rsidR="007249C9">
              <w:rPr>
                <w:noProof/>
                <w:webHidden/>
              </w:rPr>
              <w:fldChar w:fldCharType="separate"/>
            </w:r>
            <w:r w:rsidR="007A44EB">
              <w:rPr>
                <w:noProof/>
                <w:webHidden/>
              </w:rPr>
              <w:t>16</w:t>
            </w:r>
            <w:r w:rsidR="007249C9">
              <w:rPr>
                <w:noProof/>
                <w:webHidden/>
              </w:rPr>
              <w:fldChar w:fldCharType="end"/>
            </w:r>
          </w:hyperlink>
        </w:p>
        <w:p w14:paraId="5A2C4C0E" w14:textId="77777777" w:rsidR="007249C9" w:rsidRDefault="006C47E4">
          <w:pPr>
            <w:pStyle w:val="TOC3"/>
            <w:tabs>
              <w:tab w:val="right" w:leader="dot" w:pos="9980"/>
            </w:tabs>
            <w:rPr>
              <w:noProof/>
              <w:lang w:eastAsia="en-US"/>
            </w:rPr>
          </w:pPr>
          <w:hyperlink w:anchor="_Toc23266834" w:history="1">
            <w:r w:rsidR="007249C9" w:rsidRPr="00907F3B">
              <w:rPr>
                <w:rStyle w:val="Hyperlink"/>
                <w:rFonts w:ascii="Times New Roman" w:eastAsiaTheme="minorHAnsi" w:hAnsi="Times New Roman" w:cs="Times New Roman"/>
                <w:noProof/>
              </w:rPr>
              <w:t>3.2.3 General Economic, Commercial and Labour Affairs Sector</w:t>
            </w:r>
            <w:r w:rsidR="007249C9">
              <w:rPr>
                <w:noProof/>
                <w:webHidden/>
              </w:rPr>
              <w:tab/>
            </w:r>
            <w:r w:rsidR="007249C9">
              <w:rPr>
                <w:noProof/>
                <w:webHidden/>
              </w:rPr>
              <w:fldChar w:fldCharType="begin"/>
            </w:r>
            <w:r w:rsidR="007249C9">
              <w:rPr>
                <w:noProof/>
                <w:webHidden/>
              </w:rPr>
              <w:instrText xml:space="preserve"> PAGEREF _Toc23266834 \h </w:instrText>
            </w:r>
            <w:r w:rsidR="007249C9">
              <w:rPr>
                <w:noProof/>
                <w:webHidden/>
              </w:rPr>
            </w:r>
            <w:r w:rsidR="007249C9">
              <w:rPr>
                <w:noProof/>
                <w:webHidden/>
              </w:rPr>
              <w:fldChar w:fldCharType="separate"/>
            </w:r>
            <w:r w:rsidR="007A44EB">
              <w:rPr>
                <w:noProof/>
                <w:webHidden/>
              </w:rPr>
              <w:t>16</w:t>
            </w:r>
            <w:r w:rsidR="007249C9">
              <w:rPr>
                <w:noProof/>
                <w:webHidden/>
              </w:rPr>
              <w:fldChar w:fldCharType="end"/>
            </w:r>
          </w:hyperlink>
        </w:p>
        <w:p w14:paraId="706E9571" w14:textId="77777777" w:rsidR="007249C9" w:rsidRDefault="006C47E4">
          <w:pPr>
            <w:pStyle w:val="TOC3"/>
            <w:tabs>
              <w:tab w:val="right" w:leader="dot" w:pos="9980"/>
            </w:tabs>
            <w:rPr>
              <w:noProof/>
              <w:lang w:eastAsia="en-US"/>
            </w:rPr>
          </w:pPr>
          <w:hyperlink w:anchor="_Toc23266835" w:history="1">
            <w:r w:rsidR="007249C9" w:rsidRPr="00907F3B">
              <w:rPr>
                <w:rStyle w:val="Hyperlink"/>
                <w:rFonts w:ascii="Times New Roman" w:eastAsiaTheme="minorHAnsi" w:hAnsi="Times New Roman" w:cs="Times New Roman"/>
                <w:noProof/>
              </w:rPr>
              <w:t>3.2.4 Health Sector</w:t>
            </w:r>
            <w:r w:rsidR="007249C9">
              <w:rPr>
                <w:noProof/>
                <w:webHidden/>
              </w:rPr>
              <w:tab/>
            </w:r>
            <w:r w:rsidR="007249C9">
              <w:rPr>
                <w:noProof/>
                <w:webHidden/>
              </w:rPr>
              <w:fldChar w:fldCharType="begin"/>
            </w:r>
            <w:r w:rsidR="007249C9">
              <w:rPr>
                <w:noProof/>
                <w:webHidden/>
              </w:rPr>
              <w:instrText xml:space="preserve"> PAGEREF _Toc23266835 \h </w:instrText>
            </w:r>
            <w:r w:rsidR="007249C9">
              <w:rPr>
                <w:noProof/>
                <w:webHidden/>
              </w:rPr>
            </w:r>
            <w:r w:rsidR="007249C9">
              <w:rPr>
                <w:noProof/>
                <w:webHidden/>
              </w:rPr>
              <w:fldChar w:fldCharType="separate"/>
            </w:r>
            <w:r w:rsidR="007A44EB">
              <w:rPr>
                <w:noProof/>
                <w:webHidden/>
              </w:rPr>
              <w:t>17</w:t>
            </w:r>
            <w:r w:rsidR="007249C9">
              <w:rPr>
                <w:noProof/>
                <w:webHidden/>
              </w:rPr>
              <w:fldChar w:fldCharType="end"/>
            </w:r>
          </w:hyperlink>
        </w:p>
        <w:p w14:paraId="5D680084" w14:textId="77777777" w:rsidR="007249C9" w:rsidRDefault="006C47E4">
          <w:pPr>
            <w:pStyle w:val="TOC3"/>
            <w:tabs>
              <w:tab w:val="right" w:leader="dot" w:pos="9980"/>
            </w:tabs>
            <w:rPr>
              <w:noProof/>
              <w:lang w:eastAsia="en-US"/>
            </w:rPr>
          </w:pPr>
          <w:hyperlink w:anchor="_Toc23266836" w:history="1">
            <w:r w:rsidR="007249C9" w:rsidRPr="00907F3B">
              <w:rPr>
                <w:rStyle w:val="Hyperlink"/>
                <w:rFonts w:ascii="Times New Roman" w:eastAsiaTheme="minorHAnsi" w:hAnsi="Times New Roman" w:cs="Times New Roman"/>
                <w:noProof/>
              </w:rPr>
              <w:t>3.2.5 Social Protection, Culture and Recreation Sector</w:t>
            </w:r>
            <w:r w:rsidR="007249C9">
              <w:rPr>
                <w:noProof/>
                <w:webHidden/>
              </w:rPr>
              <w:tab/>
            </w:r>
            <w:r w:rsidR="007249C9">
              <w:rPr>
                <w:noProof/>
                <w:webHidden/>
              </w:rPr>
              <w:fldChar w:fldCharType="begin"/>
            </w:r>
            <w:r w:rsidR="007249C9">
              <w:rPr>
                <w:noProof/>
                <w:webHidden/>
              </w:rPr>
              <w:instrText xml:space="preserve"> PAGEREF _Toc23266836 \h </w:instrText>
            </w:r>
            <w:r w:rsidR="007249C9">
              <w:rPr>
                <w:noProof/>
                <w:webHidden/>
              </w:rPr>
            </w:r>
            <w:r w:rsidR="007249C9">
              <w:rPr>
                <w:noProof/>
                <w:webHidden/>
              </w:rPr>
              <w:fldChar w:fldCharType="separate"/>
            </w:r>
            <w:r w:rsidR="007A44EB">
              <w:rPr>
                <w:noProof/>
                <w:webHidden/>
              </w:rPr>
              <w:t>17</w:t>
            </w:r>
            <w:r w:rsidR="007249C9">
              <w:rPr>
                <w:noProof/>
                <w:webHidden/>
              </w:rPr>
              <w:fldChar w:fldCharType="end"/>
            </w:r>
          </w:hyperlink>
        </w:p>
        <w:p w14:paraId="79E8BA84" w14:textId="77777777" w:rsidR="007249C9" w:rsidRDefault="006C47E4">
          <w:pPr>
            <w:pStyle w:val="TOC3"/>
            <w:tabs>
              <w:tab w:val="right" w:leader="dot" w:pos="9980"/>
            </w:tabs>
            <w:rPr>
              <w:noProof/>
              <w:lang w:eastAsia="en-US"/>
            </w:rPr>
          </w:pPr>
          <w:hyperlink w:anchor="_Toc23266837" w:history="1">
            <w:r w:rsidR="007249C9" w:rsidRPr="00907F3B">
              <w:rPr>
                <w:rStyle w:val="Hyperlink"/>
                <w:rFonts w:ascii="Times New Roman" w:eastAsiaTheme="minorHAnsi" w:hAnsi="Times New Roman" w:cs="Times New Roman"/>
                <w:noProof/>
              </w:rPr>
              <w:t>3.2.6 Environmental Protection and Water Sector</w:t>
            </w:r>
            <w:r w:rsidR="007249C9">
              <w:rPr>
                <w:noProof/>
                <w:webHidden/>
              </w:rPr>
              <w:tab/>
            </w:r>
            <w:r w:rsidR="007249C9">
              <w:rPr>
                <w:noProof/>
                <w:webHidden/>
              </w:rPr>
              <w:fldChar w:fldCharType="begin"/>
            </w:r>
            <w:r w:rsidR="007249C9">
              <w:rPr>
                <w:noProof/>
                <w:webHidden/>
              </w:rPr>
              <w:instrText xml:space="preserve"> PAGEREF _Toc23266837 \h </w:instrText>
            </w:r>
            <w:r w:rsidR="007249C9">
              <w:rPr>
                <w:noProof/>
                <w:webHidden/>
              </w:rPr>
            </w:r>
            <w:r w:rsidR="007249C9">
              <w:rPr>
                <w:noProof/>
                <w:webHidden/>
              </w:rPr>
              <w:fldChar w:fldCharType="separate"/>
            </w:r>
            <w:r w:rsidR="007A44EB">
              <w:rPr>
                <w:noProof/>
                <w:webHidden/>
              </w:rPr>
              <w:t>17</w:t>
            </w:r>
            <w:r w:rsidR="007249C9">
              <w:rPr>
                <w:noProof/>
                <w:webHidden/>
              </w:rPr>
              <w:fldChar w:fldCharType="end"/>
            </w:r>
          </w:hyperlink>
        </w:p>
        <w:p w14:paraId="70484FBD" w14:textId="77777777" w:rsidR="007249C9" w:rsidRDefault="006C47E4">
          <w:pPr>
            <w:pStyle w:val="TOC3"/>
            <w:tabs>
              <w:tab w:val="right" w:leader="dot" w:pos="9980"/>
            </w:tabs>
            <w:rPr>
              <w:noProof/>
              <w:lang w:eastAsia="en-US"/>
            </w:rPr>
          </w:pPr>
          <w:hyperlink w:anchor="_Toc23266838" w:history="1">
            <w:r w:rsidR="007249C9" w:rsidRPr="00907F3B">
              <w:rPr>
                <w:rStyle w:val="Hyperlink"/>
                <w:rFonts w:ascii="Times New Roman" w:eastAsiaTheme="minorHAnsi" w:hAnsi="Times New Roman" w:cs="Times New Roman"/>
                <w:noProof/>
              </w:rPr>
              <w:t>3.2.7 Public Administration and Intergovernmental Affairs sector</w:t>
            </w:r>
            <w:r w:rsidR="007249C9">
              <w:rPr>
                <w:noProof/>
                <w:webHidden/>
              </w:rPr>
              <w:tab/>
            </w:r>
            <w:r w:rsidR="007249C9">
              <w:rPr>
                <w:noProof/>
                <w:webHidden/>
              </w:rPr>
              <w:fldChar w:fldCharType="begin"/>
            </w:r>
            <w:r w:rsidR="007249C9">
              <w:rPr>
                <w:noProof/>
                <w:webHidden/>
              </w:rPr>
              <w:instrText xml:space="preserve"> PAGEREF _Toc23266838 \h </w:instrText>
            </w:r>
            <w:r w:rsidR="007249C9">
              <w:rPr>
                <w:noProof/>
                <w:webHidden/>
              </w:rPr>
            </w:r>
            <w:r w:rsidR="007249C9">
              <w:rPr>
                <w:noProof/>
                <w:webHidden/>
              </w:rPr>
              <w:fldChar w:fldCharType="separate"/>
            </w:r>
            <w:r w:rsidR="007A44EB">
              <w:rPr>
                <w:noProof/>
                <w:webHidden/>
              </w:rPr>
              <w:t>18</w:t>
            </w:r>
            <w:r w:rsidR="007249C9">
              <w:rPr>
                <w:noProof/>
                <w:webHidden/>
              </w:rPr>
              <w:fldChar w:fldCharType="end"/>
            </w:r>
          </w:hyperlink>
        </w:p>
        <w:p w14:paraId="2127F42E" w14:textId="77777777" w:rsidR="007249C9" w:rsidRDefault="006C47E4">
          <w:pPr>
            <w:pStyle w:val="TOC2"/>
            <w:tabs>
              <w:tab w:val="left" w:pos="880"/>
              <w:tab w:val="right" w:leader="dot" w:pos="9980"/>
            </w:tabs>
            <w:rPr>
              <w:noProof/>
              <w:lang w:eastAsia="en-US"/>
            </w:rPr>
          </w:pPr>
          <w:hyperlink w:anchor="_Toc23266839" w:history="1">
            <w:r w:rsidR="007249C9" w:rsidRPr="00907F3B">
              <w:rPr>
                <w:rStyle w:val="Hyperlink"/>
                <w:rFonts w:ascii="Times New Roman" w:eastAsiaTheme="minorHAnsi" w:hAnsi="Times New Roman" w:cs="Times New Roman"/>
                <w:noProof/>
              </w:rPr>
              <w:t>3.3</w:t>
            </w:r>
            <w:r w:rsidR="007249C9">
              <w:rPr>
                <w:noProof/>
                <w:lang w:eastAsia="en-US"/>
              </w:rPr>
              <w:tab/>
            </w:r>
            <w:r w:rsidR="007249C9" w:rsidRPr="00907F3B">
              <w:rPr>
                <w:rStyle w:val="Hyperlink"/>
                <w:rFonts w:ascii="Times New Roman" w:eastAsiaTheme="minorHAnsi" w:hAnsi="Times New Roman" w:cs="Times New Roman"/>
                <w:noProof/>
              </w:rPr>
              <w:t>Medium Term Expenditure Framework</w:t>
            </w:r>
            <w:r w:rsidR="007249C9">
              <w:rPr>
                <w:noProof/>
                <w:webHidden/>
              </w:rPr>
              <w:tab/>
            </w:r>
            <w:r w:rsidR="007249C9">
              <w:rPr>
                <w:noProof/>
                <w:webHidden/>
              </w:rPr>
              <w:fldChar w:fldCharType="begin"/>
            </w:r>
            <w:r w:rsidR="007249C9">
              <w:rPr>
                <w:noProof/>
                <w:webHidden/>
              </w:rPr>
              <w:instrText xml:space="preserve"> PAGEREF _Toc23266839 \h </w:instrText>
            </w:r>
            <w:r w:rsidR="007249C9">
              <w:rPr>
                <w:noProof/>
                <w:webHidden/>
              </w:rPr>
            </w:r>
            <w:r w:rsidR="007249C9">
              <w:rPr>
                <w:noProof/>
                <w:webHidden/>
              </w:rPr>
              <w:fldChar w:fldCharType="separate"/>
            </w:r>
            <w:r w:rsidR="007A44EB">
              <w:rPr>
                <w:noProof/>
                <w:webHidden/>
              </w:rPr>
              <w:t>18</w:t>
            </w:r>
            <w:r w:rsidR="007249C9">
              <w:rPr>
                <w:noProof/>
                <w:webHidden/>
              </w:rPr>
              <w:fldChar w:fldCharType="end"/>
            </w:r>
          </w:hyperlink>
        </w:p>
        <w:p w14:paraId="14CF5F8E" w14:textId="77777777" w:rsidR="007249C9" w:rsidRDefault="006C47E4">
          <w:pPr>
            <w:pStyle w:val="TOC3"/>
            <w:tabs>
              <w:tab w:val="left" w:pos="1320"/>
              <w:tab w:val="right" w:leader="dot" w:pos="9980"/>
            </w:tabs>
            <w:rPr>
              <w:noProof/>
              <w:lang w:eastAsia="en-US"/>
            </w:rPr>
          </w:pPr>
          <w:hyperlink w:anchor="_Toc23266840" w:history="1">
            <w:r w:rsidR="007249C9" w:rsidRPr="00907F3B">
              <w:rPr>
                <w:rStyle w:val="Hyperlink"/>
                <w:rFonts w:ascii="Times New Roman" w:eastAsiaTheme="minorHAnsi" w:hAnsi="Times New Roman" w:cs="Times New Roman"/>
                <w:noProof/>
              </w:rPr>
              <w:t>3.3.1</w:t>
            </w:r>
            <w:r w:rsidR="007249C9">
              <w:rPr>
                <w:noProof/>
                <w:lang w:eastAsia="en-US"/>
              </w:rPr>
              <w:tab/>
            </w:r>
            <w:r w:rsidR="007249C9" w:rsidRPr="00907F3B">
              <w:rPr>
                <w:rStyle w:val="Hyperlink"/>
                <w:rFonts w:ascii="Times New Roman" w:eastAsiaTheme="minorHAnsi" w:hAnsi="Times New Roman" w:cs="Times New Roman"/>
                <w:noProof/>
              </w:rPr>
              <w:t>Revenue enhancement strategies</w:t>
            </w:r>
            <w:r w:rsidR="007249C9">
              <w:rPr>
                <w:noProof/>
                <w:webHidden/>
              </w:rPr>
              <w:tab/>
            </w:r>
            <w:r w:rsidR="007249C9">
              <w:rPr>
                <w:noProof/>
                <w:webHidden/>
              </w:rPr>
              <w:fldChar w:fldCharType="begin"/>
            </w:r>
            <w:r w:rsidR="007249C9">
              <w:rPr>
                <w:noProof/>
                <w:webHidden/>
              </w:rPr>
              <w:instrText xml:space="preserve"> PAGEREF _Toc23266840 \h </w:instrText>
            </w:r>
            <w:r w:rsidR="007249C9">
              <w:rPr>
                <w:noProof/>
                <w:webHidden/>
              </w:rPr>
            </w:r>
            <w:r w:rsidR="007249C9">
              <w:rPr>
                <w:noProof/>
                <w:webHidden/>
              </w:rPr>
              <w:fldChar w:fldCharType="separate"/>
            </w:r>
            <w:r w:rsidR="007A44EB">
              <w:rPr>
                <w:noProof/>
                <w:webHidden/>
              </w:rPr>
              <w:t>18</w:t>
            </w:r>
            <w:r w:rsidR="007249C9">
              <w:rPr>
                <w:noProof/>
                <w:webHidden/>
              </w:rPr>
              <w:fldChar w:fldCharType="end"/>
            </w:r>
          </w:hyperlink>
        </w:p>
        <w:p w14:paraId="72919211" w14:textId="77777777" w:rsidR="007249C9" w:rsidRDefault="006C47E4">
          <w:pPr>
            <w:pStyle w:val="TOC1"/>
            <w:tabs>
              <w:tab w:val="left" w:pos="440"/>
              <w:tab w:val="right" w:leader="dot" w:pos="9980"/>
            </w:tabs>
            <w:rPr>
              <w:bCs w:val="0"/>
              <w:noProof/>
              <w:lang w:eastAsia="en-US"/>
            </w:rPr>
          </w:pPr>
          <w:hyperlink w:anchor="_Toc23266841" w:history="1">
            <w:r w:rsidR="007249C9" w:rsidRPr="00907F3B">
              <w:rPr>
                <w:rStyle w:val="Hyperlink"/>
                <w:rFonts w:ascii="Times New Roman" w:hAnsi="Times New Roman" w:cs="Times New Roman"/>
                <w:noProof/>
              </w:rPr>
              <w:t>4.</w:t>
            </w:r>
            <w:r w:rsidR="007249C9">
              <w:rPr>
                <w:bCs w:val="0"/>
                <w:noProof/>
                <w:lang w:eastAsia="en-US"/>
              </w:rPr>
              <w:tab/>
            </w:r>
            <w:r w:rsidR="007249C9" w:rsidRPr="00907F3B">
              <w:rPr>
                <w:rStyle w:val="Hyperlink"/>
                <w:rFonts w:ascii="Times New Roman" w:hAnsi="Times New Roman" w:cs="Times New Roman"/>
                <w:noProof/>
              </w:rPr>
              <w:t>RESOURCE ALLOCATION FRAMEWORK</w:t>
            </w:r>
            <w:r w:rsidR="007249C9">
              <w:rPr>
                <w:noProof/>
                <w:webHidden/>
              </w:rPr>
              <w:tab/>
            </w:r>
            <w:r w:rsidR="007249C9">
              <w:rPr>
                <w:noProof/>
                <w:webHidden/>
              </w:rPr>
              <w:fldChar w:fldCharType="begin"/>
            </w:r>
            <w:r w:rsidR="007249C9">
              <w:rPr>
                <w:noProof/>
                <w:webHidden/>
              </w:rPr>
              <w:instrText xml:space="preserve"> PAGEREF _Toc23266841 \h </w:instrText>
            </w:r>
            <w:r w:rsidR="007249C9">
              <w:rPr>
                <w:noProof/>
                <w:webHidden/>
              </w:rPr>
            </w:r>
            <w:r w:rsidR="007249C9">
              <w:rPr>
                <w:noProof/>
                <w:webHidden/>
              </w:rPr>
              <w:fldChar w:fldCharType="separate"/>
            </w:r>
            <w:r w:rsidR="007A44EB">
              <w:rPr>
                <w:noProof/>
                <w:webHidden/>
              </w:rPr>
              <w:t>21</w:t>
            </w:r>
            <w:r w:rsidR="007249C9">
              <w:rPr>
                <w:noProof/>
                <w:webHidden/>
              </w:rPr>
              <w:fldChar w:fldCharType="end"/>
            </w:r>
          </w:hyperlink>
        </w:p>
        <w:p w14:paraId="559D7AF4" w14:textId="77777777" w:rsidR="007249C9" w:rsidRDefault="006C47E4">
          <w:pPr>
            <w:pStyle w:val="TOC2"/>
            <w:tabs>
              <w:tab w:val="right" w:leader="dot" w:pos="9980"/>
            </w:tabs>
            <w:rPr>
              <w:noProof/>
              <w:lang w:eastAsia="en-US"/>
            </w:rPr>
          </w:pPr>
          <w:hyperlink w:anchor="_Toc23266842" w:history="1">
            <w:r w:rsidR="007249C9" w:rsidRPr="00907F3B">
              <w:rPr>
                <w:rStyle w:val="Hyperlink"/>
                <w:rFonts w:ascii="Times New Roman" w:hAnsi="Times New Roman" w:cs="Times New Roman"/>
                <w:noProof/>
              </w:rPr>
              <w:t>4.1 Adjustment to the FY 2019/20 Budget</w:t>
            </w:r>
            <w:r w:rsidR="007249C9">
              <w:rPr>
                <w:noProof/>
                <w:webHidden/>
              </w:rPr>
              <w:tab/>
            </w:r>
            <w:r w:rsidR="007249C9">
              <w:rPr>
                <w:noProof/>
                <w:webHidden/>
              </w:rPr>
              <w:fldChar w:fldCharType="begin"/>
            </w:r>
            <w:r w:rsidR="007249C9">
              <w:rPr>
                <w:noProof/>
                <w:webHidden/>
              </w:rPr>
              <w:instrText xml:space="preserve"> PAGEREF _Toc23266842 \h </w:instrText>
            </w:r>
            <w:r w:rsidR="007249C9">
              <w:rPr>
                <w:noProof/>
                <w:webHidden/>
              </w:rPr>
            </w:r>
            <w:r w:rsidR="007249C9">
              <w:rPr>
                <w:noProof/>
                <w:webHidden/>
              </w:rPr>
              <w:fldChar w:fldCharType="separate"/>
            </w:r>
            <w:r w:rsidR="007A44EB">
              <w:rPr>
                <w:noProof/>
                <w:webHidden/>
              </w:rPr>
              <w:t>21</w:t>
            </w:r>
            <w:r w:rsidR="007249C9">
              <w:rPr>
                <w:noProof/>
                <w:webHidden/>
              </w:rPr>
              <w:fldChar w:fldCharType="end"/>
            </w:r>
          </w:hyperlink>
        </w:p>
        <w:p w14:paraId="1582C852" w14:textId="77777777" w:rsidR="007249C9" w:rsidRDefault="006C47E4">
          <w:pPr>
            <w:pStyle w:val="TOC2"/>
            <w:tabs>
              <w:tab w:val="right" w:leader="dot" w:pos="9980"/>
            </w:tabs>
            <w:rPr>
              <w:noProof/>
              <w:lang w:eastAsia="en-US"/>
            </w:rPr>
          </w:pPr>
          <w:hyperlink w:anchor="_Toc23266843" w:history="1">
            <w:r w:rsidR="007249C9" w:rsidRPr="00907F3B">
              <w:rPr>
                <w:rStyle w:val="Hyperlink"/>
                <w:rFonts w:ascii="Times New Roman" w:hAnsi="Times New Roman" w:cs="Times New Roman"/>
                <w:noProof/>
              </w:rPr>
              <w:t>4.2 Medium Term Expenditure Framework</w:t>
            </w:r>
            <w:r w:rsidR="007249C9">
              <w:rPr>
                <w:noProof/>
                <w:webHidden/>
              </w:rPr>
              <w:tab/>
            </w:r>
            <w:r w:rsidR="007249C9">
              <w:rPr>
                <w:noProof/>
                <w:webHidden/>
              </w:rPr>
              <w:fldChar w:fldCharType="begin"/>
            </w:r>
            <w:r w:rsidR="007249C9">
              <w:rPr>
                <w:noProof/>
                <w:webHidden/>
              </w:rPr>
              <w:instrText xml:space="preserve"> PAGEREF _Toc23266843 \h </w:instrText>
            </w:r>
            <w:r w:rsidR="007249C9">
              <w:rPr>
                <w:noProof/>
                <w:webHidden/>
              </w:rPr>
            </w:r>
            <w:r w:rsidR="007249C9">
              <w:rPr>
                <w:noProof/>
                <w:webHidden/>
              </w:rPr>
              <w:fldChar w:fldCharType="separate"/>
            </w:r>
            <w:r w:rsidR="007A44EB">
              <w:rPr>
                <w:noProof/>
                <w:webHidden/>
              </w:rPr>
              <w:t>21</w:t>
            </w:r>
            <w:r w:rsidR="007249C9">
              <w:rPr>
                <w:noProof/>
                <w:webHidden/>
              </w:rPr>
              <w:fldChar w:fldCharType="end"/>
            </w:r>
          </w:hyperlink>
        </w:p>
        <w:p w14:paraId="554BB7EC" w14:textId="77777777" w:rsidR="007249C9" w:rsidRDefault="006C47E4">
          <w:pPr>
            <w:pStyle w:val="TOC2"/>
            <w:tabs>
              <w:tab w:val="right" w:leader="dot" w:pos="9980"/>
            </w:tabs>
            <w:rPr>
              <w:noProof/>
              <w:lang w:eastAsia="en-US"/>
            </w:rPr>
          </w:pPr>
          <w:hyperlink w:anchor="_Toc23266844" w:history="1">
            <w:r w:rsidR="007249C9" w:rsidRPr="00907F3B">
              <w:rPr>
                <w:rStyle w:val="Hyperlink"/>
                <w:rFonts w:ascii="Times New Roman" w:hAnsi="Times New Roman" w:cs="Times New Roman"/>
                <w:noProof/>
              </w:rPr>
              <w:t>4.3 Proposed FY 2020/21 Budget Framework</w:t>
            </w:r>
            <w:r w:rsidR="007249C9">
              <w:rPr>
                <w:noProof/>
                <w:webHidden/>
              </w:rPr>
              <w:tab/>
            </w:r>
            <w:r w:rsidR="007249C9">
              <w:rPr>
                <w:noProof/>
                <w:webHidden/>
              </w:rPr>
              <w:fldChar w:fldCharType="begin"/>
            </w:r>
            <w:r w:rsidR="007249C9">
              <w:rPr>
                <w:noProof/>
                <w:webHidden/>
              </w:rPr>
              <w:instrText xml:space="preserve"> PAGEREF _Toc23266844 \h </w:instrText>
            </w:r>
            <w:r w:rsidR="007249C9">
              <w:rPr>
                <w:noProof/>
                <w:webHidden/>
              </w:rPr>
            </w:r>
            <w:r w:rsidR="007249C9">
              <w:rPr>
                <w:noProof/>
                <w:webHidden/>
              </w:rPr>
              <w:fldChar w:fldCharType="separate"/>
            </w:r>
            <w:r w:rsidR="007A44EB">
              <w:rPr>
                <w:noProof/>
                <w:webHidden/>
              </w:rPr>
              <w:t>22</w:t>
            </w:r>
            <w:r w:rsidR="007249C9">
              <w:rPr>
                <w:noProof/>
                <w:webHidden/>
              </w:rPr>
              <w:fldChar w:fldCharType="end"/>
            </w:r>
          </w:hyperlink>
        </w:p>
        <w:p w14:paraId="54DBB32C" w14:textId="77777777" w:rsidR="007249C9" w:rsidRDefault="006C47E4">
          <w:pPr>
            <w:pStyle w:val="TOC2"/>
            <w:tabs>
              <w:tab w:val="right" w:leader="dot" w:pos="9980"/>
            </w:tabs>
            <w:rPr>
              <w:noProof/>
              <w:lang w:eastAsia="en-US"/>
            </w:rPr>
          </w:pPr>
          <w:hyperlink w:anchor="_Toc23266845" w:history="1">
            <w:r w:rsidR="007249C9" w:rsidRPr="00907F3B">
              <w:rPr>
                <w:rStyle w:val="Hyperlink"/>
                <w:rFonts w:ascii="Times New Roman" w:hAnsi="Times New Roman" w:cs="Times New Roman"/>
                <w:noProof/>
              </w:rPr>
              <w:t>4.4 The Proposed 2020/21 Budget Framework</w:t>
            </w:r>
            <w:r w:rsidR="007249C9">
              <w:rPr>
                <w:noProof/>
                <w:webHidden/>
              </w:rPr>
              <w:tab/>
            </w:r>
            <w:r w:rsidR="007249C9">
              <w:rPr>
                <w:noProof/>
                <w:webHidden/>
              </w:rPr>
              <w:fldChar w:fldCharType="begin"/>
            </w:r>
            <w:r w:rsidR="007249C9">
              <w:rPr>
                <w:noProof/>
                <w:webHidden/>
              </w:rPr>
              <w:instrText xml:space="preserve"> PAGEREF _Toc23266845 \h </w:instrText>
            </w:r>
            <w:r w:rsidR="007249C9">
              <w:rPr>
                <w:noProof/>
                <w:webHidden/>
              </w:rPr>
            </w:r>
            <w:r w:rsidR="007249C9">
              <w:rPr>
                <w:noProof/>
                <w:webHidden/>
              </w:rPr>
              <w:fldChar w:fldCharType="separate"/>
            </w:r>
            <w:r w:rsidR="007A44EB">
              <w:rPr>
                <w:noProof/>
                <w:webHidden/>
              </w:rPr>
              <w:t>29</w:t>
            </w:r>
            <w:r w:rsidR="007249C9">
              <w:rPr>
                <w:noProof/>
                <w:webHidden/>
              </w:rPr>
              <w:fldChar w:fldCharType="end"/>
            </w:r>
          </w:hyperlink>
        </w:p>
        <w:p w14:paraId="0B75820B" w14:textId="77777777" w:rsidR="007249C9" w:rsidRDefault="006C47E4">
          <w:pPr>
            <w:pStyle w:val="TOC2"/>
            <w:tabs>
              <w:tab w:val="right" w:leader="dot" w:pos="9980"/>
            </w:tabs>
            <w:rPr>
              <w:noProof/>
              <w:lang w:eastAsia="en-US"/>
            </w:rPr>
          </w:pPr>
          <w:hyperlink w:anchor="_Toc23266846" w:history="1">
            <w:r w:rsidR="007249C9" w:rsidRPr="00907F3B">
              <w:rPr>
                <w:rStyle w:val="Hyperlink"/>
                <w:rFonts w:ascii="Times New Roman" w:hAnsi="Times New Roman" w:cs="Times New Roman"/>
                <w:noProof/>
              </w:rPr>
              <w:t>4.5 Projected Fiscal Balance</w:t>
            </w:r>
            <w:r w:rsidR="007249C9">
              <w:rPr>
                <w:noProof/>
                <w:webHidden/>
              </w:rPr>
              <w:tab/>
            </w:r>
            <w:r w:rsidR="007249C9">
              <w:rPr>
                <w:noProof/>
                <w:webHidden/>
              </w:rPr>
              <w:fldChar w:fldCharType="begin"/>
            </w:r>
            <w:r w:rsidR="007249C9">
              <w:rPr>
                <w:noProof/>
                <w:webHidden/>
              </w:rPr>
              <w:instrText xml:space="preserve"> PAGEREF _Toc23266846 \h </w:instrText>
            </w:r>
            <w:r w:rsidR="007249C9">
              <w:rPr>
                <w:noProof/>
                <w:webHidden/>
              </w:rPr>
            </w:r>
            <w:r w:rsidR="007249C9">
              <w:rPr>
                <w:noProof/>
                <w:webHidden/>
              </w:rPr>
              <w:fldChar w:fldCharType="separate"/>
            </w:r>
            <w:r w:rsidR="007A44EB">
              <w:rPr>
                <w:noProof/>
                <w:webHidden/>
              </w:rPr>
              <w:t>29</w:t>
            </w:r>
            <w:r w:rsidR="007249C9">
              <w:rPr>
                <w:noProof/>
                <w:webHidden/>
              </w:rPr>
              <w:fldChar w:fldCharType="end"/>
            </w:r>
          </w:hyperlink>
        </w:p>
        <w:p w14:paraId="360A986B" w14:textId="77777777" w:rsidR="007249C9" w:rsidRDefault="006C47E4">
          <w:pPr>
            <w:pStyle w:val="TOC1"/>
            <w:tabs>
              <w:tab w:val="left" w:pos="440"/>
              <w:tab w:val="right" w:leader="dot" w:pos="9980"/>
            </w:tabs>
            <w:rPr>
              <w:bCs w:val="0"/>
              <w:noProof/>
              <w:lang w:eastAsia="en-US"/>
            </w:rPr>
          </w:pPr>
          <w:hyperlink w:anchor="_Toc23266847" w:history="1">
            <w:r w:rsidR="007249C9" w:rsidRPr="00907F3B">
              <w:rPr>
                <w:rStyle w:val="Hyperlink"/>
                <w:rFonts w:ascii="Times New Roman" w:hAnsi="Times New Roman" w:cs="Times New Roman"/>
                <w:noProof/>
              </w:rPr>
              <w:t>5</w:t>
            </w:r>
            <w:r w:rsidR="007249C9">
              <w:rPr>
                <w:bCs w:val="0"/>
                <w:noProof/>
                <w:lang w:eastAsia="en-US"/>
              </w:rPr>
              <w:tab/>
            </w:r>
            <w:r w:rsidR="007249C9" w:rsidRPr="00907F3B">
              <w:rPr>
                <w:rStyle w:val="Hyperlink"/>
                <w:rFonts w:ascii="Times New Roman" w:hAnsi="Times New Roman" w:cs="Times New Roman"/>
                <w:noProof/>
              </w:rPr>
              <w:t>CONCLUSION</w:t>
            </w:r>
            <w:r w:rsidR="007249C9">
              <w:rPr>
                <w:noProof/>
                <w:webHidden/>
              </w:rPr>
              <w:tab/>
            </w:r>
            <w:r w:rsidR="007249C9">
              <w:rPr>
                <w:noProof/>
                <w:webHidden/>
              </w:rPr>
              <w:fldChar w:fldCharType="begin"/>
            </w:r>
            <w:r w:rsidR="007249C9">
              <w:rPr>
                <w:noProof/>
                <w:webHidden/>
              </w:rPr>
              <w:instrText xml:space="preserve"> PAGEREF _Toc23266847 \h </w:instrText>
            </w:r>
            <w:r w:rsidR="007249C9">
              <w:rPr>
                <w:noProof/>
                <w:webHidden/>
              </w:rPr>
            </w:r>
            <w:r w:rsidR="007249C9">
              <w:rPr>
                <w:noProof/>
                <w:webHidden/>
              </w:rPr>
              <w:fldChar w:fldCharType="separate"/>
            </w:r>
            <w:r w:rsidR="007A44EB">
              <w:rPr>
                <w:noProof/>
                <w:webHidden/>
              </w:rPr>
              <w:t>30</w:t>
            </w:r>
            <w:r w:rsidR="007249C9">
              <w:rPr>
                <w:noProof/>
                <w:webHidden/>
              </w:rPr>
              <w:fldChar w:fldCharType="end"/>
            </w:r>
          </w:hyperlink>
        </w:p>
        <w:p w14:paraId="212B61C6" w14:textId="60E55E6B" w:rsidR="008F43B5" w:rsidRDefault="008F43B5">
          <w:r>
            <w:rPr>
              <w:b/>
              <w:bCs/>
              <w:noProof/>
            </w:rPr>
            <w:fldChar w:fldCharType="end"/>
          </w:r>
        </w:p>
      </w:sdtContent>
    </w:sdt>
    <w:p w14:paraId="4A5C298C" w14:textId="77777777" w:rsidR="004041C1" w:rsidRPr="00766EF1" w:rsidRDefault="004041C1" w:rsidP="004B13B4">
      <w:pPr>
        <w:spacing w:after="0" w:line="240" w:lineRule="auto"/>
        <w:jc w:val="center"/>
        <w:rPr>
          <w:rStyle w:val="Hyperlink"/>
          <w:rFonts w:ascii="Times New Roman" w:hAnsi="Times New Roman" w:cs="Times New Roman"/>
          <w:sz w:val="24"/>
          <w:szCs w:val="24"/>
          <w:u w:val="none"/>
        </w:rPr>
      </w:pPr>
    </w:p>
    <w:p w14:paraId="4CB2BA00" w14:textId="77777777" w:rsidR="004041C1" w:rsidRPr="00766EF1" w:rsidRDefault="004041C1" w:rsidP="004B13B4">
      <w:pPr>
        <w:spacing w:after="0" w:line="240" w:lineRule="auto"/>
        <w:jc w:val="center"/>
        <w:rPr>
          <w:rStyle w:val="Hyperlink"/>
          <w:rFonts w:ascii="Times New Roman" w:hAnsi="Times New Roman" w:cs="Times New Roman"/>
          <w:sz w:val="24"/>
          <w:szCs w:val="24"/>
          <w:u w:val="none"/>
        </w:rPr>
        <w:sectPr w:rsidR="004041C1" w:rsidRPr="00766EF1" w:rsidSect="00F41687">
          <w:pgSz w:w="11907" w:h="16839" w:code="9"/>
          <w:pgMar w:top="1440" w:right="927" w:bottom="1440" w:left="990" w:header="720" w:footer="720" w:gutter="0"/>
          <w:cols w:space="720"/>
          <w:titlePg/>
          <w:docGrid w:linePitch="360"/>
        </w:sectPr>
      </w:pPr>
    </w:p>
    <w:p w14:paraId="7F9664A4" w14:textId="77777777" w:rsidR="007951B5" w:rsidRPr="00766EF1" w:rsidRDefault="007951B5" w:rsidP="00223805">
      <w:pPr>
        <w:pStyle w:val="Heading1"/>
        <w:spacing w:after="240"/>
        <w:rPr>
          <w:rFonts w:ascii="Times New Roman" w:hAnsi="Times New Roman" w:cs="Times New Roman"/>
          <w:color w:val="auto"/>
          <w:sz w:val="24"/>
          <w:szCs w:val="24"/>
        </w:rPr>
      </w:pPr>
      <w:bookmarkStart w:id="0" w:name="_Toc23266811"/>
      <w:r w:rsidRPr="00766EF1">
        <w:rPr>
          <w:rFonts w:ascii="Times New Roman" w:hAnsi="Times New Roman" w:cs="Times New Roman"/>
          <w:color w:val="auto"/>
          <w:sz w:val="24"/>
          <w:szCs w:val="24"/>
        </w:rPr>
        <w:lastRenderedPageBreak/>
        <w:t>Foreword</w:t>
      </w:r>
      <w:bookmarkEnd w:id="0"/>
    </w:p>
    <w:p w14:paraId="66276434" w14:textId="77777777" w:rsidR="002A671F" w:rsidRPr="00766EF1" w:rsidRDefault="002A671F" w:rsidP="002A671F">
      <w:pPr>
        <w:jc w:val="both"/>
        <w:rPr>
          <w:rFonts w:ascii="Times New Roman" w:hAnsi="Times New Roman" w:cs="Times New Roman"/>
          <w:sz w:val="24"/>
          <w:szCs w:val="24"/>
        </w:rPr>
      </w:pPr>
      <w:r w:rsidRPr="00766EF1">
        <w:rPr>
          <w:rFonts w:ascii="Times New Roman" w:hAnsi="Times New Roman" w:cs="Times New Roman"/>
          <w:sz w:val="24"/>
          <w:szCs w:val="24"/>
        </w:rPr>
        <w:t>The preparation of this County Budget Revie</w:t>
      </w:r>
      <w:r>
        <w:rPr>
          <w:rFonts w:ascii="Times New Roman" w:hAnsi="Times New Roman" w:cs="Times New Roman"/>
          <w:sz w:val="24"/>
          <w:szCs w:val="24"/>
        </w:rPr>
        <w:t>w and Outlook Paper [CBROP] 2019</w:t>
      </w:r>
      <w:r w:rsidRPr="00766EF1">
        <w:rPr>
          <w:rFonts w:ascii="Times New Roman" w:hAnsi="Times New Roman" w:cs="Times New Roman"/>
          <w:sz w:val="24"/>
          <w:szCs w:val="24"/>
        </w:rPr>
        <w:t xml:space="preserve"> has followed the guidelines as per the County Budget Operational Manual that stipulates its format, structure and contents. More importantly, the preparation has adhered to Section 118 of the Public Finance Manageme</w:t>
      </w:r>
      <w:r>
        <w:rPr>
          <w:rFonts w:ascii="Times New Roman" w:hAnsi="Times New Roman" w:cs="Times New Roman"/>
          <w:sz w:val="24"/>
          <w:szCs w:val="24"/>
        </w:rPr>
        <w:t>nt (PFM) Act 2012 which gives guidelines on preparation of CBROP.</w:t>
      </w:r>
      <w:r w:rsidRPr="00766EF1">
        <w:rPr>
          <w:rFonts w:ascii="Times New Roman" w:hAnsi="Times New Roman" w:cs="Times New Roman"/>
          <w:sz w:val="24"/>
          <w:szCs w:val="24"/>
        </w:rPr>
        <w:t xml:space="preserve"> </w:t>
      </w:r>
    </w:p>
    <w:p w14:paraId="103C1A9A" w14:textId="77777777" w:rsidR="002A671F" w:rsidRPr="00635EE2" w:rsidRDefault="002A671F" w:rsidP="002A671F">
      <w:pPr>
        <w:jc w:val="both"/>
        <w:rPr>
          <w:rFonts w:ascii="Times New Roman" w:hAnsi="Times New Roman" w:cs="Times New Roman"/>
          <w:sz w:val="24"/>
          <w:szCs w:val="24"/>
        </w:rPr>
      </w:pPr>
      <w:r w:rsidRPr="00635EE2">
        <w:rPr>
          <w:rFonts w:ascii="Times New Roman" w:hAnsi="Times New Roman" w:cs="Times New Roman"/>
          <w:sz w:val="24"/>
          <w:szCs w:val="24"/>
        </w:rPr>
        <w:t xml:space="preserve">This policy paper reviews fiscal performance of the county for the 2018/19 Financial Year [FY] while comparing it with the budget appropriation for the same year. Moreover, it provides information on </w:t>
      </w:r>
      <w:r w:rsidRPr="00C26BA4">
        <w:rPr>
          <w:rFonts w:ascii="Times New Roman" w:hAnsi="Times New Roman" w:cs="Times New Roman"/>
          <w:sz w:val="24"/>
          <w:szCs w:val="24"/>
        </w:rPr>
        <w:t xml:space="preserve">changes in the forecasts compared with the recent County Fiscal Strategy Paper (CFSP) </w:t>
      </w:r>
      <w:r w:rsidRPr="00C26BA4">
        <w:rPr>
          <w:rFonts w:ascii="Times New Roman" w:hAnsi="Times New Roman" w:cs="Times New Roman"/>
          <w:sz w:val="24"/>
          <w:szCs w:val="24"/>
        </w:rPr>
        <w:br/>
        <w:t xml:space="preserve">and how actual financial performance for the previous financial year may have </w:t>
      </w:r>
      <w:r w:rsidRPr="00C26BA4">
        <w:rPr>
          <w:rFonts w:ascii="Times New Roman" w:hAnsi="Times New Roman" w:cs="Times New Roman"/>
          <w:sz w:val="24"/>
          <w:szCs w:val="24"/>
        </w:rPr>
        <w:br/>
        <w:t xml:space="preserve">affected compliance with the fiscal responsibility principles, or the financial </w:t>
      </w:r>
      <w:r w:rsidRPr="00C26BA4">
        <w:rPr>
          <w:rFonts w:ascii="Times New Roman" w:hAnsi="Times New Roman" w:cs="Times New Roman"/>
          <w:sz w:val="24"/>
          <w:szCs w:val="24"/>
        </w:rPr>
        <w:br/>
        <w:t xml:space="preserve">objectives in the County Fiscal Strategy Paper for that financial year. </w:t>
      </w:r>
      <w:r w:rsidRPr="00635EE2">
        <w:rPr>
          <w:rFonts w:ascii="Times New Roman" w:hAnsi="Times New Roman" w:cs="Times New Roman"/>
          <w:sz w:val="24"/>
          <w:szCs w:val="24"/>
        </w:rPr>
        <w:t>It further gives reasons for any deviation from the county financial objectives in the fiscal strategy paper together with proposals to address the deviations.</w:t>
      </w:r>
    </w:p>
    <w:p w14:paraId="6CD53526" w14:textId="77777777" w:rsidR="002A671F" w:rsidRPr="00766EF1" w:rsidRDefault="002A671F" w:rsidP="002A671F">
      <w:pPr>
        <w:jc w:val="both"/>
        <w:rPr>
          <w:rFonts w:ascii="Times New Roman" w:hAnsi="Times New Roman" w:cs="Times New Roman"/>
          <w:sz w:val="24"/>
          <w:szCs w:val="24"/>
        </w:rPr>
      </w:pPr>
      <w:r w:rsidRPr="00766EF1">
        <w:rPr>
          <w:rFonts w:ascii="Times New Roman" w:hAnsi="Times New Roman" w:cs="Times New Roman"/>
          <w:sz w:val="24"/>
          <w:szCs w:val="24"/>
        </w:rPr>
        <w:t>Furthermore, the updated economic and financial outlook presented in this paper will set out the broad fiscal parameters for preparation of the next budget. In particular, the provisional ceilings presented are intended to act as a guide to sector working g</w:t>
      </w:r>
      <w:r>
        <w:rPr>
          <w:rFonts w:ascii="Times New Roman" w:hAnsi="Times New Roman" w:cs="Times New Roman"/>
          <w:sz w:val="24"/>
          <w:szCs w:val="24"/>
        </w:rPr>
        <w:t>roups in preparing their sector reports</w:t>
      </w:r>
      <w:r w:rsidRPr="00766EF1">
        <w:rPr>
          <w:rFonts w:ascii="Times New Roman" w:hAnsi="Times New Roman" w:cs="Times New Roman"/>
          <w:sz w:val="24"/>
          <w:szCs w:val="24"/>
        </w:rPr>
        <w:t xml:space="preserve">. </w:t>
      </w:r>
    </w:p>
    <w:p w14:paraId="4A64DD47" w14:textId="77777777" w:rsidR="002A671F" w:rsidRPr="00766EF1" w:rsidRDefault="002A671F" w:rsidP="002A671F">
      <w:pPr>
        <w:jc w:val="both"/>
        <w:rPr>
          <w:rFonts w:ascii="Times New Roman" w:hAnsi="Times New Roman" w:cs="Times New Roman"/>
          <w:sz w:val="24"/>
          <w:szCs w:val="24"/>
        </w:rPr>
      </w:pPr>
      <w:r w:rsidRPr="00766EF1">
        <w:rPr>
          <w:rFonts w:ascii="Times New Roman" w:hAnsi="Times New Roman" w:cs="Times New Roman"/>
          <w:sz w:val="24"/>
          <w:szCs w:val="24"/>
        </w:rPr>
        <w:t>Therefore, this policy paper will be useful in enhancing financial discipline and fiscal responsibilities outlined in section 107 of the PFM Act 2012 that will contribute towards the realization of aspiration of the residents of the county.</w:t>
      </w:r>
    </w:p>
    <w:p w14:paraId="1A89CAFB" w14:textId="77777777" w:rsidR="002A671F" w:rsidRPr="00766EF1" w:rsidRDefault="002A671F" w:rsidP="002A671F">
      <w:pPr>
        <w:jc w:val="both"/>
        <w:rPr>
          <w:rFonts w:ascii="Times New Roman" w:hAnsi="Times New Roman" w:cs="Times New Roman"/>
          <w:sz w:val="24"/>
          <w:szCs w:val="24"/>
        </w:rPr>
      </w:pPr>
    </w:p>
    <w:p w14:paraId="333CBF06" w14:textId="77777777" w:rsidR="002A671F" w:rsidRDefault="002A671F" w:rsidP="002A671F">
      <w:pPr>
        <w:jc w:val="both"/>
        <w:rPr>
          <w:rFonts w:ascii="Times New Roman" w:hAnsi="Times New Roman" w:cs="Times New Roman"/>
          <w:sz w:val="24"/>
          <w:szCs w:val="24"/>
        </w:rPr>
      </w:pPr>
    </w:p>
    <w:p w14:paraId="3C7919BA" w14:textId="77777777" w:rsidR="002A671F" w:rsidRPr="00766EF1" w:rsidRDefault="002A671F" w:rsidP="002A671F">
      <w:pPr>
        <w:jc w:val="both"/>
        <w:rPr>
          <w:rFonts w:ascii="Times New Roman" w:hAnsi="Times New Roman" w:cs="Times New Roman"/>
          <w:sz w:val="24"/>
          <w:szCs w:val="24"/>
        </w:rPr>
      </w:pPr>
    </w:p>
    <w:p w14:paraId="0CDCD887" w14:textId="77777777" w:rsidR="002A671F" w:rsidRPr="00766EF1" w:rsidRDefault="002A671F" w:rsidP="002A671F">
      <w:pPr>
        <w:spacing w:after="0" w:line="240" w:lineRule="auto"/>
        <w:jc w:val="both"/>
        <w:rPr>
          <w:rFonts w:ascii="Times New Roman" w:hAnsi="Times New Roman" w:cs="Times New Roman"/>
          <w:sz w:val="24"/>
          <w:szCs w:val="24"/>
        </w:rPr>
      </w:pPr>
      <w:r w:rsidRPr="00766EF1">
        <w:rPr>
          <w:rFonts w:ascii="Times New Roman" w:hAnsi="Times New Roman" w:cs="Times New Roman"/>
          <w:sz w:val="24"/>
          <w:szCs w:val="24"/>
        </w:rPr>
        <w:t>Titus Ntuchiu</w:t>
      </w:r>
    </w:p>
    <w:p w14:paraId="0F6B725C" w14:textId="77777777" w:rsidR="002A671F" w:rsidRPr="00766EF1" w:rsidRDefault="002A671F" w:rsidP="002A671F">
      <w:pPr>
        <w:spacing w:after="0" w:line="240" w:lineRule="auto"/>
        <w:jc w:val="both"/>
        <w:rPr>
          <w:rFonts w:ascii="Times New Roman" w:hAnsi="Times New Roman" w:cs="Times New Roman"/>
          <w:b/>
          <w:sz w:val="24"/>
          <w:szCs w:val="24"/>
          <w:u w:val="single"/>
        </w:rPr>
      </w:pPr>
      <w:r w:rsidRPr="00766EF1">
        <w:rPr>
          <w:rFonts w:ascii="Times New Roman" w:hAnsi="Times New Roman" w:cs="Times New Roman"/>
          <w:b/>
          <w:sz w:val="24"/>
          <w:szCs w:val="24"/>
          <w:u w:val="single"/>
        </w:rPr>
        <w:t>Deputy Governor/CECM Finance, Economic Planning &amp; ICT</w:t>
      </w:r>
    </w:p>
    <w:p w14:paraId="194EE028" w14:textId="77777777" w:rsidR="00CE027C" w:rsidRPr="00766EF1" w:rsidRDefault="00CE027C" w:rsidP="007951B5">
      <w:pPr>
        <w:rPr>
          <w:rFonts w:ascii="Times New Roman" w:hAnsi="Times New Roman" w:cs="Times New Roman"/>
          <w:sz w:val="24"/>
          <w:szCs w:val="24"/>
        </w:rPr>
      </w:pPr>
    </w:p>
    <w:p w14:paraId="7C695F62" w14:textId="77777777" w:rsidR="00F67F5F" w:rsidRPr="00766EF1" w:rsidRDefault="00F67F5F">
      <w:pPr>
        <w:rPr>
          <w:rFonts w:ascii="Times New Roman" w:hAnsi="Times New Roman" w:cs="Times New Roman"/>
          <w:color w:val="00B0F0"/>
          <w:sz w:val="24"/>
          <w:szCs w:val="24"/>
        </w:rPr>
        <w:sectPr w:rsidR="00F67F5F" w:rsidRPr="00766EF1" w:rsidSect="00B9180F">
          <w:headerReference w:type="default" r:id="rId14"/>
          <w:footerReference w:type="first" r:id="rId15"/>
          <w:pgSz w:w="11907" w:h="16839" w:code="9"/>
          <w:pgMar w:top="1440" w:right="927" w:bottom="1440" w:left="990" w:header="720" w:footer="720" w:gutter="0"/>
          <w:pgNumType w:fmt="lowerRoman" w:start="1"/>
          <w:cols w:space="720"/>
          <w:docGrid w:linePitch="360"/>
        </w:sectPr>
      </w:pPr>
    </w:p>
    <w:p w14:paraId="717D1CFF" w14:textId="77777777" w:rsidR="00F67F5F" w:rsidRPr="00766EF1" w:rsidRDefault="00F67F5F" w:rsidP="00223805">
      <w:pPr>
        <w:pStyle w:val="Heading1"/>
        <w:spacing w:after="240"/>
        <w:rPr>
          <w:rFonts w:ascii="Times New Roman" w:hAnsi="Times New Roman" w:cs="Times New Roman"/>
          <w:color w:val="auto"/>
          <w:sz w:val="24"/>
          <w:szCs w:val="24"/>
        </w:rPr>
      </w:pPr>
      <w:bookmarkStart w:id="1" w:name="_Toc23266812"/>
      <w:r w:rsidRPr="00766EF1">
        <w:rPr>
          <w:rFonts w:ascii="Times New Roman" w:hAnsi="Times New Roman" w:cs="Times New Roman"/>
          <w:color w:val="auto"/>
          <w:sz w:val="24"/>
          <w:szCs w:val="24"/>
        </w:rPr>
        <w:lastRenderedPageBreak/>
        <w:t>Acknowledgement</w:t>
      </w:r>
      <w:bookmarkEnd w:id="1"/>
    </w:p>
    <w:p w14:paraId="70507BC4" w14:textId="0C95BA45" w:rsidR="002A671F" w:rsidRPr="00766EF1" w:rsidRDefault="002A671F" w:rsidP="002A671F">
      <w:pPr>
        <w:pStyle w:val="Default"/>
        <w:spacing w:line="28" w:lineRule="atLeast"/>
        <w:contextualSpacing/>
        <w:jc w:val="both"/>
        <w:rPr>
          <w:rFonts w:ascii="Times New Roman" w:hAnsi="Times New Roman" w:cs="Times New Roman"/>
        </w:rPr>
      </w:pPr>
      <w:r w:rsidRPr="00766EF1">
        <w:rPr>
          <w:rFonts w:ascii="Times New Roman" w:hAnsi="Times New Roman" w:cs="Times New Roman"/>
        </w:rPr>
        <w:t>It is with great pleasure for the Department of Finance, Economic Planning and ICT to register its appreciation to all those persons who put their efforts in th</w:t>
      </w:r>
      <w:r w:rsidR="00C26BA4">
        <w:rPr>
          <w:rFonts w:ascii="Times New Roman" w:hAnsi="Times New Roman" w:cs="Times New Roman"/>
        </w:rPr>
        <w:t>e preparation of this CBROP 2019</w:t>
      </w:r>
      <w:r w:rsidRPr="00766EF1">
        <w:rPr>
          <w:rFonts w:ascii="Times New Roman" w:hAnsi="Times New Roman" w:cs="Times New Roman"/>
        </w:rPr>
        <w:t xml:space="preserve">. The Department takes this opportunity to specially acknowledge the unrelenting efforts portrayed by all the departments and directorates in this noble process during the consultative </w:t>
      </w:r>
      <w:r w:rsidR="00D15546" w:rsidRPr="00766EF1">
        <w:rPr>
          <w:rFonts w:ascii="Times New Roman" w:hAnsi="Times New Roman" w:cs="Times New Roman"/>
        </w:rPr>
        <w:t>wor</w:t>
      </w:r>
      <w:r w:rsidR="00D15546">
        <w:rPr>
          <w:rFonts w:ascii="Times New Roman" w:hAnsi="Times New Roman" w:cs="Times New Roman"/>
        </w:rPr>
        <w:t>ksho</w:t>
      </w:r>
      <w:r w:rsidR="00D15546" w:rsidRPr="00766EF1">
        <w:rPr>
          <w:rFonts w:ascii="Times New Roman" w:hAnsi="Times New Roman" w:cs="Times New Roman"/>
        </w:rPr>
        <w:t>p</w:t>
      </w:r>
      <w:r w:rsidRPr="00766EF1">
        <w:rPr>
          <w:rFonts w:ascii="Times New Roman" w:hAnsi="Times New Roman" w:cs="Times New Roman"/>
        </w:rPr>
        <w:t xml:space="preserve"> on reviewing the performance for FY </w:t>
      </w:r>
      <w:r>
        <w:rPr>
          <w:rFonts w:ascii="Times New Roman" w:hAnsi="Times New Roman" w:cs="Times New Roman"/>
        </w:rPr>
        <w:t>2018/19</w:t>
      </w:r>
      <w:r w:rsidRPr="00766EF1">
        <w:rPr>
          <w:rFonts w:ascii="Times New Roman" w:hAnsi="Times New Roman" w:cs="Times New Roman"/>
        </w:rPr>
        <w:t xml:space="preserve"> and undertaking the outlook for 2019/20 and medium t</w:t>
      </w:r>
      <w:r>
        <w:rPr>
          <w:rFonts w:ascii="Times New Roman" w:hAnsi="Times New Roman" w:cs="Times New Roman"/>
        </w:rPr>
        <w:t>erm.</w:t>
      </w:r>
      <w:r w:rsidRPr="00766EF1">
        <w:rPr>
          <w:rFonts w:ascii="Times New Roman" w:hAnsi="Times New Roman" w:cs="Times New Roman"/>
        </w:rPr>
        <w:t xml:space="preserve"> </w:t>
      </w:r>
    </w:p>
    <w:p w14:paraId="5AA8F321" w14:textId="77777777" w:rsidR="002A671F" w:rsidRPr="00766EF1" w:rsidRDefault="002A671F" w:rsidP="002A671F">
      <w:pPr>
        <w:pStyle w:val="Default"/>
        <w:spacing w:line="28" w:lineRule="atLeast"/>
        <w:contextualSpacing/>
        <w:jc w:val="both"/>
        <w:rPr>
          <w:rFonts w:ascii="Times New Roman" w:hAnsi="Times New Roman" w:cs="Times New Roman"/>
        </w:rPr>
      </w:pPr>
    </w:p>
    <w:p w14:paraId="1E842C9B" w14:textId="7AC75675" w:rsidR="002A671F" w:rsidRPr="00766EF1" w:rsidRDefault="002A671F" w:rsidP="002A671F">
      <w:pPr>
        <w:pStyle w:val="Default"/>
        <w:spacing w:line="28" w:lineRule="atLeast"/>
        <w:contextualSpacing/>
        <w:jc w:val="both"/>
        <w:rPr>
          <w:rFonts w:ascii="Times New Roman" w:hAnsi="Times New Roman" w:cs="Times New Roman"/>
        </w:rPr>
      </w:pPr>
      <w:r w:rsidRPr="00766EF1">
        <w:rPr>
          <w:rFonts w:ascii="Times New Roman" w:hAnsi="Times New Roman" w:cs="Times New Roman"/>
        </w:rPr>
        <w:t>Much appreciation to the Directorate of Budget headed by CPA</w:t>
      </w:r>
      <w:r>
        <w:rPr>
          <w:rFonts w:ascii="Times New Roman" w:hAnsi="Times New Roman" w:cs="Times New Roman"/>
        </w:rPr>
        <w:t xml:space="preserve"> Mw</w:t>
      </w:r>
      <w:r w:rsidR="00C26BA4">
        <w:rPr>
          <w:rFonts w:ascii="Times New Roman" w:hAnsi="Times New Roman" w:cs="Times New Roman"/>
        </w:rPr>
        <w:t>e</w:t>
      </w:r>
      <w:r>
        <w:rPr>
          <w:rFonts w:ascii="Times New Roman" w:hAnsi="Times New Roman" w:cs="Times New Roman"/>
        </w:rPr>
        <w:t>nda Charles Kaibiria</w:t>
      </w:r>
      <w:r w:rsidRPr="00766EF1">
        <w:rPr>
          <w:rFonts w:ascii="Times New Roman" w:hAnsi="Times New Roman" w:cs="Times New Roman"/>
        </w:rPr>
        <w:t>, who spearheaded the entire CBROP preparation process. Moreover, the team o</w:t>
      </w:r>
      <w:r>
        <w:rPr>
          <w:rFonts w:ascii="Times New Roman" w:hAnsi="Times New Roman" w:cs="Times New Roman"/>
        </w:rPr>
        <w:t xml:space="preserve">f technical officers in the Department </w:t>
      </w:r>
      <w:r w:rsidRPr="00766EF1">
        <w:rPr>
          <w:rFonts w:ascii="Times New Roman" w:hAnsi="Times New Roman" w:cs="Times New Roman"/>
        </w:rPr>
        <w:t xml:space="preserve">of </w:t>
      </w:r>
      <w:r>
        <w:rPr>
          <w:rFonts w:ascii="Times New Roman" w:hAnsi="Times New Roman" w:cs="Times New Roman"/>
        </w:rPr>
        <w:t xml:space="preserve"> </w:t>
      </w:r>
      <w:r w:rsidR="00C26BA4">
        <w:rPr>
          <w:rFonts w:ascii="Times New Roman" w:hAnsi="Times New Roman" w:cs="Times New Roman"/>
        </w:rPr>
        <w:t>Finance ,Economic Planning &amp; ICT</w:t>
      </w:r>
      <w:r>
        <w:rPr>
          <w:rFonts w:ascii="Times New Roman" w:hAnsi="Times New Roman" w:cs="Times New Roman"/>
        </w:rPr>
        <w:t xml:space="preserve"> </w:t>
      </w:r>
      <w:r w:rsidRPr="00766EF1">
        <w:rPr>
          <w:rFonts w:ascii="Times New Roman" w:hAnsi="Times New Roman" w:cs="Times New Roman"/>
        </w:rPr>
        <w:t xml:space="preserve"> comprising of Dinah Gikunda,</w:t>
      </w:r>
      <w:r>
        <w:rPr>
          <w:rFonts w:ascii="Times New Roman" w:hAnsi="Times New Roman" w:cs="Times New Roman"/>
        </w:rPr>
        <w:t xml:space="preserve"> Mukuria</w:t>
      </w:r>
      <w:r w:rsidR="00C26BA4">
        <w:rPr>
          <w:rFonts w:ascii="Times New Roman" w:hAnsi="Times New Roman" w:cs="Times New Roman"/>
        </w:rPr>
        <w:t xml:space="preserve"> Gabriel</w:t>
      </w:r>
      <w:r>
        <w:rPr>
          <w:rFonts w:ascii="Times New Roman" w:hAnsi="Times New Roman" w:cs="Times New Roman"/>
        </w:rPr>
        <w:t>, (Economist)</w:t>
      </w:r>
      <w:r w:rsidR="00C26BA4">
        <w:rPr>
          <w:rFonts w:ascii="Times New Roman" w:hAnsi="Times New Roman" w:cs="Times New Roman"/>
        </w:rPr>
        <w:t>,</w:t>
      </w:r>
      <w:r>
        <w:rPr>
          <w:rFonts w:ascii="Times New Roman" w:hAnsi="Times New Roman" w:cs="Times New Roman"/>
        </w:rPr>
        <w:t xml:space="preserve"> CPA Mwenda Machoki, CPA Francis Mu</w:t>
      </w:r>
      <w:r w:rsidR="00C26BA4">
        <w:rPr>
          <w:rFonts w:ascii="Times New Roman" w:hAnsi="Times New Roman" w:cs="Times New Roman"/>
        </w:rPr>
        <w:t>n</w:t>
      </w:r>
      <w:r>
        <w:rPr>
          <w:rFonts w:ascii="Times New Roman" w:hAnsi="Times New Roman" w:cs="Times New Roman"/>
        </w:rPr>
        <w:t>gai and Ester Kabue (Finance Officer).</w:t>
      </w:r>
    </w:p>
    <w:p w14:paraId="4FAFF433" w14:textId="77777777" w:rsidR="002A671F" w:rsidRPr="00766EF1" w:rsidRDefault="002A671F" w:rsidP="002A671F">
      <w:pPr>
        <w:autoSpaceDE w:val="0"/>
        <w:autoSpaceDN w:val="0"/>
        <w:adjustRightInd w:val="0"/>
        <w:spacing w:after="0" w:line="28" w:lineRule="atLeast"/>
        <w:contextualSpacing/>
        <w:jc w:val="both"/>
        <w:rPr>
          <w:rFonts w:ascii="Times New Roman" w:hAnsi="Times New Roman" w:cs="Times New Roman"/>
          <w:color w:val="000000"/>
          <w:sz w:val="24"/>
          <w:szCs w:val="24"/>
        </w:rPr>
      </w:pPr>
    </w:p>
    <w:p w14:paraId="2C3823B7" w14:textId="77777777" w:rsidR="002A671F" w:rsidRPr="00766EF1" w:rsidRDefault="002A671F" w:rsidP="002A671F">
      <w:pPr>
        <w:autoSpaceDE w:val="0"/>
        <w:autoSpaceDN w:val="0"/>
        <w:adjustRightInd w:val="0"/>
        <w:spacing w:after="0" w:line="28" w:lineRule="atLeast"/>
        <w:contextualSpacing/>
        <w:jc w:val="both"/>
        <w:rPr>
          <w:rFonts w:ascii="Times New Roman" w:hAnsi="Times New Roman" w:cs="Times New Roman"/>
          <w:color w:val="000000"/>
          <w:sz w:val="24"/>
          <w:szCs w:val="24"/>
        </w:rPr>
      </w:pPr>
    </w:p>
    <w:p w14:paraId="00BEFF7F" w14:textId="77777777" w:rsidR="002A671F" w:rsidRPr="00766EF1" w:rsidRDefault="002A671F" w:rsidP="002A671F">
      <w:pPr>
        <w:spacing w:after="0" w:line="28" w:lineRule="atLeast"/>
        <w:contextualSpacing/>
        <w:jc w:val="both"/>
        <w:rPr>
          <w:rFonts w:ascii="Times New Roman" w:hAnsi="Times New Roman" w:cs="Times New Roman"/>
          <w:sz w:val="24"/>
          <w:szCs w:val="24"/>
        </w:rPr>
      </w:pPr>
      <w:r w:rsidRPr="00766EF1">
        <w:rPr>
          <w:rFonts w:ascii="Times New Roman" w:hAnsi="Times New Roman" w:cs="Times New Roman"/>
          <w:sz w:val="24"/>
          <w:szCs w:val="24"/>
        </w:rPr>
        <w:t xml:space="preserve">To all that were involved, receive my heartfelt appreciation. </w:t>
      </w:r>
    </w:p>
    <w:p w14:paraId="3A5C60B6" w14:textId="77777777" w:rsidR="002A671F" w:rsidRPr="00766EF1" w:rsidRDefault="002A671F" w:rsidP="002A671F">
      <w:pPr>
        <w:pStyle w:val="Default"/>
        <w:spacing w:line="28" w:lineRule="atLeast"/>
        <w:contextualSpacing/>
        <w:jc w:val="both"/>
        <w:rPr>
          <w:rFonts w:ascii="Times New Roman" w:hAnsi="Times New Roman" w:cs="Times New Roman"/>
          <w:b/>
          <w:bCs/>
        </w:rPr>
      </w:pPr>
    </w:p>
    <w:p w14:paraId="04F6FB17" w14:textId="77777777" w:rsidR="002A671F" w:rsidRPr="00766EF1" w:rsidRDefault="002A671F" w:rsidP="002A671F">
      <w:pPr>
        <w:pStyle w:val="Default"/>
        <w:spacing w:line="28" w:lineRule="atLeast"/>
        <w:contextualSpacing/>
        <w:jc w:val="both"/>
        <w:rPr>
          <w:rFonts w:ascii="Times New Roman" w:hAnsi="Times New Roman" w:cs="Times New Roman"/>
          <w:b/>
          <w:bCs/>
        </w:rPr>
      </w:pPr>
    </w:p>
    <w:p w14:paraId="120B5F8D" w14:textId="77777777" w:rsidR="002A671F" w:rsidRPr="00766EF1" w:rsidRDefault="002A671F" w:rsidP="002A671F">
      <w:pPr>
        <w:pStyle w:val="Default"/>
        <w:spacing w:line="28" w:lineRule="atLeast"/>
        <w:contextualSpacing/>
        <w:jc w:val="both"/>
        <w:rPr>
          <w:rFonts w:ascii="Times New Roman" w:hAnsi="Times New Roman" w:cs="Times New Roman"/>
          <w:b/>
          <w:bCs/>
        </w:rPr>
      </w:pPr>
    </w:p>
    <w:p w14:paraId="595D4E8E" w14:textId="77777777" w:rsidR="002A671F" w:rsidRPr="00766EF1" w:rsidRDefault="002A671F" w:rsidP="002A671F">
      <w:pPr>
        <w:pStyle w:val="Default"/>
        <w:spacing w:line="28" w:lineRule="atLeast"/>
        <w:contextualSpacing/>
        <w:jc w:val="both"/>
        <w:rPr>
          <w:rFonts w:ascii="Times New Roman" w:hAnsi="Times New Roman" w:cs="Times New Roman"/>
          <w:b/>
          <w:bCs/>
        </w:rPr>
      </w:pPr>
    </w:p>
    <w:p w14:paraId="6B9B8F79" w14:textId="77777777" w:rsidR="002A671F" w:rsidRPr="00766EF1" w:rsidRDefault="002A671F" w:rsidP="002A671F">
      <w:pPr>
        <w:pStyle w:val="Default"/>
        <w:spacing w:line="28" w:lineRule="atLeast"/>
        <w:contextualSpacing/>
        <w:jc w:val="both"/>
        <w:rPr>
          <w:rFonts w:ascii="Times New Roman" w:hAnsi="Times New Roman" w:cs="Times New Roman"/>
          <w:b/>
          <w:bCs/>
        </w:rPr>
      </w:pPr>
    </w:p>
    <w:p w14:paraId="49DC18C1" w14:textId="77777777" w:rsidR="002A671F" w:rsidRPr="00766EF1" w:rsidRDefault="002A671F" w:rsidP="002A671F">
      <w:pPr>
        <w:pStyle w:val="Default"/>
        <w:spacing w:line="28" w:lineRule="atLeast"/>
        <w:contextualSpacing/>
        <w:jc w:val="both"/>
        <w:rPr>
          <w:rFonts w:ascii="Times New Roman" w:hAnsi="Times New Roman" w:cs="Times New Roman"/>
          <w:b/>
          <w:bCs/>
        </w:rPr>
      </w:pPr>
    </w:p>
    <w:p w14:paraId="1BAE9170" w14:textId="77777777" w:rsidR="002A671F" w:rsidRPr="00766EF1" w:rsidRDefault="002A671F" w:rsidP="002A671F">
      <w:pPr>
        <w:pStyle w:val="Default"/>
        <w:spacing w:line="28" w:lineRule="atLeast"/>
        <w:contextualSpacing/>
        <w:jc w:val="both"/>
        <w:rPr>
          <w:rFonts w:ascii="Times New Roman" w:hAnsi="Times New Roman" w:cs="Times New Roman"/>
          <w:b/>
          <w:bCs/>
        </w:rPr>
      </w:pPr>
    </w:p>
    <w:p w14:paraId="130E29B1" w14:textId="54623AF4" w:rsidR="002A671F" w:rsidRPr="00766EF1" w:rsidRDefault="007249C9" w:rsidP="002A671F">
      <w:pPr>
        <w:pStyle w:val="Default"/>
        <w:spacing w:line="28" w:lineRule="atLeast"/>
        <w:contextualSpacing/>
        <w:jc w:val="both"/>
        <w:rPr>
          <w:rFonts w:ascii="Times New Roman" w:hAnsi="Times New Roman" w:cs="Times New Roman"/>
          <w:b/>
        </w:rPr>
      </w:pPr>
      <w:r>
        <w:rPr>
          <w:rFonts w:ascii="Times New Roman" w:hAnsi="Times New Roman" w:cs="Times New Roman"/>
          <w:b/>
        </w:rPr>
        <w:t>Charles Mwenda</w:t>
      </w:r>
    </w:p>
    <w:p w14:paraId="4C99C616" w14:textId="1A9D5D06" w:rsidR="002A671F" w:rsidRPr="00766EF1" w:rsidRDefault="007249C9" w:rsidP="002A671F">
      <w:pPr>
        <w:pStyle w:val="Default"/>
        <w:spacing w:line="28" w:lineRule="atLeast"/>
        <w:contextualSpacing/>
        <w:jc w:val="both"/>
        <w:rPr>
          <w:rFonts w:ascii="Times New Roman" w:hAnsi="Times New Roman" w:cs="Times New Roman"/>
        </w:rPr>
      </w:pPr>
      <w:r>
        <w:rPr>
          <w:rFonts w:ascii="Times New Roman" w:hAnsi="Times New Roman" w:cs="Times New Roman"/>
        </w:rPr>
        <w:t>For: Chief</w:t>
      </w:r>
      <w:r w:rsidR="00C26BA4">
        <w:rPr>
          <w:rFonts w:ascii="Times New Roman" w:hAnsi="Times New Roman" w:cs="Times New Roman"/>
        </w:rPr>
        <w:t xml:space="preserve"> Officer-</w:t>
      </w:r>
      <w:r w:rsidR="002A671F" w:rsidRPr="00766EF1">
        <w:rPr>
          <w:rFonts w:ascii="Times New Roman" w:hAnsi="Times New Roman" w:cs="Times New Roman"/>
        </w:rPr>
        <w:t>Finance, Economic Planning &amp; ICT</w:t>
      </w:r>
    </w:p>
    <w:p w14:paraId="42510AD7" w14:textId="77777777" w:rsidR="002A671F" w:rsidRPr="00766EF1" w:rsidRDefault="002A671F" w:rsidP="002A671F">
      <w:pPr>
        <w:rPr>
          <w:rFonts w:ascii="Times New Roman" w:hAnsi="Times New Roman" w:cs="Times New Roman"/>
          <w:sz w:val="24"/>
          <w:szCs w:val="24"/>
        </w:rPr>
      </w:pPr>
    </w:p>
    <w:p w14:paraId="372F2789" w14:textId="77777777" w:rsidR="00EE13F0" w:rsidRPr="00766EF1" w:rsidRDefault="00EE13F0" w:rsidP="00EE13F0">
      <w:pPr>
        <w:pStyle w:val="Default"/>
        <w:spacing w:line="28" w:lineRule="atLeast"/>
        <w:contextualSpacing/>
        <w:jc w:val="both"/>
        <w:rPr>
          <w:rFonts w:ascii="Times New Roman" w:hAnsi="Times New Roman" w:cs="Times New Roman"/>
          <w:b/>
          <w:bCs/>
        </w:rPr>
      </w:pPr>
    </w:p>
    <w:p w14:paraId="4919775F" w14:textId="77777777" w:rsidR="00EE13F0" w:rsidRPr="00766EF1" w:rsidRDefault="00EE13F0" w:rsidP="00EE13F0">
      <w:pPr>
        <w:pStyle w:val="Default"/>
        <w:spacing w:line="28" w:lineRule="atLeast"/>
        <w:contextualSpacing/>
        <w:jc w:val="both"/>
        <w:rPr>
          <w:rFonts w:ascii="Times New Roman" w:hAnsi="Times New Roman" w:cs="Times New Roman"/>
          <w:b/>
          <w:bCs/>
        </w:rPr>
      </w:pPr>
    </w:p>
    <w:p w14:paraId="594A767F" w14:textId="77777777" w:rsidR="000115F2" w:rsidRPr="00766EF1" w:rsidRDefault="000115F2" w:rsidP="00EE13F0">
      <w:pPr>
        <w:pStyle w:val="Default"/>
        <w:spacing w:line="28" w:lineRule="atLeast"/>
        <w:contextualSpacing/>
        <w:jc w:val="both"/>
        <w:rPr>
          <w:rFonts w:ascii="Times New Roman" w:hAnsi="Times New Roman" w:cs="Times New Roman"/>
          <w:b/>
          <w:bCs/>
        </w:rPr>
      </w:pPr>
    </w:p>
    <w:p w14:paraId="727A0EAC" w14:textId="77777777" w:rsidR="00E24502" w:rsidRPr="00766EF1" w:rsidRDefault="00E24502" w:rsidP="00EE13F0">
      <w:pPr>
        <w:pStyle w:val="Default"/>
        <w:spacing w:line="28" w:lineRule="atLeast"/>
        <w:contextualSpacing/>
        <w:jc w:val="both"/>
        <w:rPr>
          <w:rFonts w:ascii="Times New Roman" w:hAnsi="Times New Roman" w:cs="Times New Roman"/>
          <w:b/>
          <w:bCs/>
        </w:rPr>
      </w:pPr>
    </w:p>
    <w:p w14:paraId="710540B7" w14:textId="77777777" w:rsidR="00EE13F0" w:rsidRPr="00766EF1" w:rsidRDefault="00EE13F0" w:rsidP="00EE13F0">
      <w:pPr>
        <w:pStyle w:val="Default"/>
        <w:spacing w:line="28" w:lineRule="atLeast"/>
        <w:contextualSpacing/>
        <w:jc w:val="both"/>
        <w:rPr>
          <w:rFonts w:ascii="Times New Roman" w:hAnsi="Times New Roman" w:cs="Times New Roman"/>
          <w:b/>
          <w:bCs/>
        </w:rPr>
      </w:pPr>
    </w:p>
    <w:p w14:paraId="255DDE7E" w14:textId="0C61EE27" w:rsidR="00921510" w:rsidRPr="00766EF1" w:rsidRDefault="00921510" w:rsidP="00F67F5F">
      <w:pPr>
        <w:rPr>
          <w:rFonts w:ascii="Times New Roman" w:hAnsi="Times New Roman" w:cs="Times New Roman"/>
          <w:sz w:val="24"/>
          <w:szCs w:val="24"/>
        </w:rPr>
      </w:pPr>
    </w:p>
    <w:p w14:paraId="6CAB47E2" w14:textId="77777777" w:rsidR="00F67F5F" w:rsidRPr="00766EF1" w:rsidRDefault="00F67F5F" w:rsidP="00F67F5F">
      <w:pPr>
        <w:rPr>
          <w:rFonts w:ascii="Times New Roman" w:hAnsi="Times New Roman" w:cs="Times New Roman"/>
          <w:sz w:val="24"/>
          <w:szCs w:val="24"/>
        </w:rPr>
      </w:pPr>
    </w:p>
    <w:p w14:paraId="01F19C92" w14:textId="77777777" w:rsidR="00F67F5F" w:rsidRPr="00766EF1" w:rsidRDefault="00F67F5F" w:rsidP="00F67F5F">
      <w:pPr>
        <w:rPr>
          <w:rFonts w:ascii="Times New Roman" w:hAnsi="Times New Roman" w:cs="Times New Roman"/>
          <w:sz w:val="24"/>
          <w:szCs w:val="24"/>
        </w:rPr>
      </w:pPr>
    </w:p>
    <w:p w14:paraId="2D103D12" w14:textId="77777777" w:rsidR="0097516D" w:rsidRPr="00766EF1" w:rsidRDefault="0097516D" w:rsidP="00F67F5F">
      <w:pPr>
        <w:rPr>
          <w:rFonts w:ascii="Times New Roman" w:hAnsi="Times New Roman" w:cs="Times New Roman"/>
          <w:sz w:val="24"/>
          <w:szCs w:val="24"/>
        </w:rPr>
      </w:pPr>
    </w:p>
    <w:p w14:paraId="34985FED" w14:textId="77777777" w:rsidR="00F67F5F" w:rsidRPr="00766EF1" w:rsidRDefault="00F67F5F" w:rsidP="00F67F5F">
      <w:pPr>
        <w:spacing w:after="0"/>
        <w:rPr>
          <w:rFonts w:ascii="Times New Roman" w:hAnsi="Times New Roman" w:cs="Times New Roman"/>
          <w:color w:val="00B0F0"/>
          <w:sz w:val="24"/>
          <w:szCs w:val="24"/>
        </w:rPr>
      </w:pPr>
      <w:r w:rsidRPr="00766EF1">
        <w:rPr>
          <w:rFonts w:ascii="Times New Roman" w:hAnsi="Times New Roman" w:cs="Times New Roman"/>
          <w:color w:val="00B0F0"/>
          <w:sz w:val="24"/>
          <w:szCs w:val="24"/>
        </w:rPr>
        <w:br w:type="page"/>
      </w:r>
    </w:p>
    <w:p w14:paraId="54A4C7C3" w14:textId="69EB7ADB" w:rsidR="0096562F" w:rsidRPr="00766EF1" w:rsidRDefault="00A8135F" w:rsidP="00223805">
      <w:pPr>
        <w:pStyle w:val="Heading1"/>
        <w:spacing w:after="240"/>
        <w:rPr>
          <w:rFonts w:ascii="Times New Roman" w:hAnsi="Times New Roman" w:cs="Times New Roman"/>
          <w:color w:val="auto"/>
          <w:sz w:val="24"/>
          <w:szCs w:val="24"/>
        </w:rPr>
      </w:pPr>
      <w:bookmarkStart w:id="2" w:name="_Toc23266813"/>
      <w:r>
        <w:rPr>
          <w:rFonts w:ascii="Times New Roman" w:hAnsi="Times New Roman" w:cs="Times New Roman"/>
          <w:color w:val="auto"/>
          <w:sz w:val="24"/>
          <w:szCs w:val="24"/>
        </w:rPr>
        <w:lastRenderedPageBreak/>
        <w:t>Abbreviations a</w:t>
      </w:r>
      <w:r w:rsidRPr="00766EF1">
        <w:rPr>
          <w:rFonts w:ascii="Times New Roman" w:hAnsi="Times New Roman" w:cs="Times New Roman"/>
          <w:color w:val="auto"/>
          <w:sz w:val="24"/>
          <w:szCs w:val="24"/>
        </w:rPr>
        <w:t>nd Acronyms</w:t>
      </w:r>
      <w:bookmarkEnd w:id="2"/>
    </w:p>
    <w:p w14:paraId="65F3946D" w14:textId="7939F575" w:rsidR="002A671F" w:rsidRPr="002A671F" w:rsidRDefault="002A671F" w:rsidP="002A671F">
      <w:pPr>
        <w:spacing w:after="0"/>
        <w:rPr>
          <w:rFonts w:ascii="Times New Roman" w:hAnsi="Times New Roman" w:cs="Times New Roman"/>
          <w:sz w:val="24"/>
          <w:szCs w:val="24"/>
        </w:rPr>
      </w:pPr>
      <w:r w:rsidRPr="002A671F">
        <w:rPr>
          <w:rFonts w:ascii="Times New Roman" w:hAnsi="Times New Roman" w:cs="Times New Roman"/>
          <w:sz w:val="24"/>
          <w:szCs w:val="24"/>
        </w:rPr>
        <w:t>CBK</w:t>
      </w:r>
      <w:r w:rsidRPr="002A671F">
        <w:rPr>
          <w:rFonts w:ascii="Times New Roman" w:hAnsi="Times New Roman" w:cs="Times New Roman"/>
          <w:sz w:val="24"/>
          <w:szCs w:val="24"/>
        </w:rPr>
        <w:tab/>
      </w:r>
      <w:r w:rsidRPr="002A671F">
        <w:rPr>
          <w:rFonts w:ascii="Times New Roman" w:hAnsi="Times New Roman" w:cs="Times New Roman"/>
          <w:sz w:val="24"/>
          <w:szCs w:val="24"/>
        </w:rPr>
        <w:tab/>
        <w:t>Central Bank of Kenya</w:t>
      </w:r>
    </w:p>
    <w:p w14:paraId="4C9210CF" w14:textId="136F18F9" w:rsidR="002A671F" w:rsidRPr="002A671F" w:rsidRDefault="002A671F" w:rsidP="002A671F">
      <w:pPr>
        <w:spacing w:after="0"/>
        <w:rPr>
          <w:rFonts w:ascii="Times New Roman" w:hAnsi="Times New Roman" w:cs="Times New Roman"/>
          <w:sz w:val="24"/>
          <w:szCs w:val="24"/>
        </w:rPr>
      </w:pPr>
      <w:r w:rsidRPr="002A671F">
        <w:rPr>
          <w:rFonts w:ascii="Times New Roman" w:hAnsi="Times New Roman" w:cs="Times New Roman"/>
          <w:sz w:val="24"/>
          <w:szCs w:val="24"/>
        </w:rPr>
        <w:t>CECM</w:t>
      </w:r>
      <w:r>
        <w:rPr>
          <w:rFonts w:ascii="Times New Roman" w:hAnsi="Times New Roman" w:cs="Times New Roman"/>
          <w:sz w:val="24"/>
          <w:szCs w:val="24"/>
        </w:rPr>
        <w:tab/>
      </w:r>
      <w:r w:rsidRPr="002A671F">
        <w:rPr>
          <w:rFonts w:ascii="Times New Roman" w:hAnsi="Times New Roman" w:cs="Times New Roman"/>
          <w:sz w:val="24"/>
          <w:szCs w:val="24"/>
        </w:rPr>
        <w:tab/>
        <w:t>County Executive Committee Member</w:t>
      </w:r>
    </w:p>
    <w:p w14:paraId="1A9BAEAB" w14:textId="3F8A83CA" w:rsidR="002A671F" w:rsidRPr="002A671F" w:rsidRDefault="002A671F" w:rsidP="002A671F">
      <w:pPr>
        <w:spacing w:after="0"/>
        <w:rPr>
          <w:rFonts w:ascii="Times New Roman" w:hAnsi="Times New Roman" w:cs="Times New Roman"/>
          <w:sz w:val="24"/>
          <w:szCs w:val="24"/>
        </w:rPr>
      </w:pPr>
      <w:r w:rsidRPr="002A671F">
        <w:rPr>
          <w:rFonts w:ascii="Times New Roman" w:hAnsi="Times New Roman" w:cs="Times New Roman"/>
          <w:sz w:val="24"/>
          <w:szCs w:val="24"/>
        </w:rPr>
        <w:t>CO</w:t>
      </w:r>
      <w:r w:rsidRPr="002A671F">
        <w:rPr>
          <w:rFonts w:ascii="Times New Roman" w:hAnsi="Times New Roman" w:cs="Times New Roman"/>
          <w:sz w:val="24"/>
          <w:szCs w:val="24"/>
        </w:rPr>
        <w:tab/>
      </w:r>
      <w:r w:rsidRPr="002A671F">
        <w:rPr>
          <w:rFonts w:ascii="Times New Roman" w:hAnsi="Times New Roman" w:cs="Times New Roman"/>
          <w:sz w:val="24"/>
          <w:szCs w:val="24"/>
        </w:rPr>
        <w:tab/>
        <w:t xml:space="preserve">Chief Officer </w:t>
      </w:r>
    </w:p>
    <w:p w14:paraId="618884F3" w14:textId="3FEEA0A5" w:rsidR="002A671F" w:rsidRPr="002A671F" w:rsidRDefault="002A671F" w:rsidP="002A671F">
      <w:pPr>
        <w:spacing w:after="0"/>
        <w:rPr>
          <w:rFonts w:ascii="Times New Roman" w:hAnsi="Times New Roman" w:cs="Times New Roman"/>
          <w:sz w:val="24"/>
          <w:szCs w:val="24"/>
        </w:rPr>
      </w:pPr>
      <w:r w:rsidRPr="002A671F">
        <w:rPr>
          <w:rFonts w:ascii="Times New Roman" w:hAnsi="Times New Roman" w:cs="Times New Roman"/>
          <w:sz w:val="24"/>
          <w:szCs w:val="24"/>
        </w:rPr>
        <w:t>CRA</w:t>
      </w:r>
      <w:r w:rsidRPr="002A671F">
        <w:rPr>
          <w:rFonts w:ascii="Times New Roman" w:hAnsi="Times New Roman" w:cs="Times New Roman"/>
          <w:sz w:val="24"/>
          <w:szCs w:val="24"/>
        </w:rPr>
        <w:tab/>
      </w:r>
      <w:r w:rsidRPr="002A671F">
        <w:rPr>
          <w:rFonts w:ascii="Times New Roman" w:hAnsi="Times New Roman" w:cs="Times New Roman"/>
          <w:sz w:val="24"/>
          <w:szCs w:val="24"/>
        </w:rPr>
        <w:tab/>
        <w:t>Commission of Revenue Allocation</w:t>
      </w:r>
    </w:p>
    <w:p w14:paraId="4D614C46" w14:textId="77777777" w:rsidR="002A671F" w:rsidRPr="002A671F" w:rsidRDefault="002A671F" w:rsidP="002A671F">
      <w:pPr>
        <w:spacing w:after="0"/>
        <w:rPr>
          <w:rFonts w:ascii="Times New Roman" w:hAnsi="Times New Roman" w:cs="Times New Roman"/>
          <w:sz w:val="24"/>
          <w:szCs w:val="24"/>
        </w:rPr>
      </w:pPr>
      <w:r w:rsidRPr="002A671F">
        <w:rPr>
          <w:rFonts w:ascii="Times New Roman" w:hAnsi="Times New Roman" w:cs="Times New Roman"/>
          <w:sz w:val="24"/>
          <w:szCs w:val="24"/>
        </w:rPr>
        <w:t>CBROP</w:t>
      </w:r>
      <w:r w:rsidRPr="002A671F">
        <w:rPr>
          <w:rFonts w:ascii="Times New Roman" w:hAnsi="Times New Roman" w:cs="Times New Roman"/>
          <w:sz w:val="24"/>
          <w:szCs w:val="24"/>
        </w:rPr>
        <w:tab/>
        <w:t>County Budget Review and Outlook Paper</w:t>
      </w:r>
    </w:p>
    <w:p w14:paraId="28B7E5C9" w14:textId="40959FA0" w:rsidR="002A671F" w:rsidRDefault="002A671F" w:rsidP="002A671F">
      <w:pPr>
        <w:spacing w:after="0"/>
        <w:rPr>
          <w:rFonts w:ascii="Times New Roman" w:hAnsi="Times New Roman" w:cs="Times New Roman"/>
          <w:sz w:val="24"/>
          <w:szCs w:val="24"/>
        </w:rPr>
      </w:pPr>
      <w:r w:rsidRPr="002A671F">
        <w:rPr>
          <w:rFonts w:ascii="Times New Roman" w:hAnsi="Times New Roman" w:cs="Times New Roman"/>
          <w:sz w:val="24"/>
          <w:szCs w:val="24"/>
        </w:rPr>
        <w:t>CFSP</w:t>
      </w:r>
      <w:r w:rsidRPr="002A671F">
        <w:rPr>
          <w:rFonts w:ascii="Times New Roman" w:hAnsi="Times New Roman" w:cs="Times New Roman"/>
          <w:sz w:val="24"/>
          <w:szCs w:val="24"/>
        </w:rPr>
        <w:tab/>
      </w:r>
      <w:r w:rsidRPr="002A671F">
        <w:rPr>
          <w:rFonts w:ascii="Times New Roman" w:hAnsi="Times New Roman" w:cs="Times New Roman"/>
          <w:sz w:val="24"/>
          <w:szCs w:val="24"/>
        </w:rPr>
        <w:tab/>
        <w:t>County Fiscal Strategy Paper</w:t>
      </w:r>
    </w:p>
    <w:p w14:paraId="38D771D9" w14:textId="3A67DF4E" w:rsidR="004735FA" w:rsidRDefault="004735FA" w:rsidP="002A671F">
      <w:pPr>
        <w:spacing w:after="0"/>
        <w:rPr>
          <w:rFonts w:ascii="Times New Roman" w:hAnsi="Times New Roman" w:cs="Times New Roman"/>
          <w:sz w:val="24"/>
          <w:szCs w:val="24"/>
        </w:rPr>
      </w:pPr>
      <w:r>
        <w:rPr>
          <w:rFonts w:ascii="Times New Roman" w:hAnsi="Times New Roman" w:cs="Times New Roman"/>
          <w:sz w:val="24"/>
          <w:szCs w:val="24"/>
        </w:rPr>
        <w:t>CIDP</w:t>
      </w:r>
      <w:r>
        <w:rPr>
          <w:rFonts w:ascii="Times New Roman" w:hAnsi="Times New Roman" w:cs="Times New Roman"/>
          <w:sz w:val="24"/>
          <w:szCs w:val="24"/>
        </w:rPr>
        <w:tab/>
      </w:r>
      <w:r>
        <w:rPr>
          <w:rFonts w:ascii="Times New Roman" w:hAnsi="Times New Roman" w:cs="Times New Roman"/>
          <w:sz w:val="24"/>
          <w:szCs w:val="24"/>
        </w:rPr>
        <w:tab/>
        <w:t>County Integrated Development Plan</w:t>
      </w:r>
    </w:p>
    <w:p w14:paraId="3DEE933F" w14:textId="2E361F5A" w:rsidR="004735FA" w:rsidRPr="002A671F" w:rsidRDefault="004735FA" w:rsidP="002A671F">
      <w:pPr>
        <w:spacing w:after="0"/>
        <w:rPr>
          <w:rFonts w:ascii="Times New Roman" w:hAnsi="Times New Roman" w:cs="Times New Roman"/>
          <w:sz w:val="24"/>
          <w:szCs w:val="24"/>
        </w:rPr>
      </w:pPr>
      <w:r>
        <w:rPr>
          <w:rFonts w:ascii="Times New Roman" w:hAnsi="Times New Roman" w:cs="Times New Roman"/>
          <w:sz w:val="24"/>
          <w:szCs w:val="24"/>
        </w:rPr>
        <w:t>ADP</w:t>
      </w:r>
      <w:r>
        <w:rPr>
          <w:rFonts w:ascii="Times New Roman" w:hAnsi="Times New Roman" w:cs="Times New Roman"/>
          <w:sz w:val="24"/>
          <w:szCs w:val="24"/>
        </w:rPr>
        <w:tab/>
      </w:r>
      <w:r>
        <w:rPr>
          <w:rFonts w:ascii="Times New Roman" w:hAnsi="Times New Roman" w:cs="Times New Roman"/>
          <w:sz w:val="24"/>
          <w:szCs w:val="24"/>
        </w:rPr>
        <w:tab/>
        <w:t>Annual Development Plan</w:t>
      </w:r>
    </w:p>
    <w:p w14:paraId="31F70705" w14:textId="4719941E" w:rsidR="002A671F" w:rsidRPr="002A671F" w:rsidRDefault="002A671F" w:rsidP="002A671F">
      <w:pPr>
        <w:spacing w:after="0"/>
        <w:rPr>
          <w:rFonts w:ascii="Times New Roman" w:hAnsi="Times New Roman" w:cs="Times New Roman"/>
          <w:sz w:val="24"/>
          <w:szCs w:val="24"/>
        </w:rPr>
      </w:pPr>
      <w:r w:rsidRPr="002A671F">
        <w:rPr>
          <w:rFonts w:ascii="Times New Roman" w:hAnsi="Times New Roman" w:cs="Times New Roman"/>
          <w:sz w:val="24"/>
          <w:szCs w:val="24"/>
        </w:rPr>
        <w:t>FY</w:t>
      </w:r>
      <w:r w:rsidRPr="002A671F">
        <w:rPr>
          <w:rFonts w:ascii="Times New Roman" w:hAnsi="Times New Roman" w:cs="Times New Roman"/>
          <w:sz w:val="24"/>
          <w:szCs w:val="24"/>
        </w:rPr>
        <w:tab/>
      </w:r>
      <w:r w:rsidRPr="002A671F">
        <w:rPr>
          <w:rFonts w:ascii="Times New Roman" w:hAnsi="Times New Roman" w:cs="Times New Roman"/>
          <w:sz w:val="24"/>
          <w:szCs w:val="24"/>
        </w:rPr>
        <w:tab/>
        <w:t xml:space="preserve">Financial Year </w:t>
      </w:r>
    </w:p>
    <w:p w14:paraId="6CD50ABA" w14:textId="3B541851" w:rsidR="002A671F" w:rsidRPr="002A671F" w:rsidRDefault="002A671F" w:rsidP="002A671F">
      <w:pPr>
        <w:spacing w:after="0"/>
        <w:rPr>
          <w:rFonts w:ascii="Times New Roman" w:hAnsi="Times New Roman" w:cs="Times New Roman"/>
          <w:sz w:val="24"/>
          <w:szCs w:val="24"/>
        </w:rPr>
      </w:pPr>
      <w:r w:rsidRPr="002A671F">
        <w:rPr>
          <w:rFonts w:ascii="Times New Roman" w:hAnsi="Times New Roman" w:cs="Times New Roman"/>
          <w:sz w:val="24"/>
          <w:szCs w:val="24"/>
        </w:rPr>
        <w:t>GDP</w:t>
      </w:r>
      <w:r w:rsidRPr="002A671F">
        <w:rPr>
          <w:rFonts w:ascii="Times New Roman" w:hAnsi="Times New Roman" w:cs="Times New Roman"/>
          <w:sz w:val="24"/>
          <w:szCs w:val="24"/>
        </w:rPr>
        <w:tab/>
      </w:r>
      <w:r w:rsidRPr="002A671F">
        <w:rPr>
          <w:rFonts w:ascii="Times New Roman" w:hAnsi="Times New Roman" w:cs="Times New Roman"/>
          <w:sz w:val="24"/>
          <w:szCs w:val="24"/>
        </w:rPr>
        <w:tab/>
        <w:t>Gross Domestic Product</w:t>
      </w:r>
    </w:p>
    <w:p w14:paraId="44097F73" w14:textId="2435B7F7" w:rsidR="002A671F" w:rsidRPr="002A671F" w:rsidRDefault="002A671F" w:rsidP="002A671F">
      <w:pPr>
        <w:spacing w:after="0"/>
        <w:rPr>
          <w:rFonts w:ascii="Times New Roman" w:hAnsi="Times New Roman" w:cs="Times New Roman"/>
          <w:sz w:val="24"/>
          <w:szCs w:val="24"/>
        </w:rPr>
      </w:pPr>
      <w:r w:rsidRPr="002A671F">
        <w:rPr>
          <w:rFonts w:ascii="Times New Roman" w:hAnsi="Times New Roman" w:cs="Times New Roman"/>
          <w:sz w:val="24"/>
          <w:szCs w:val="24"/>
        </w:rPr>
        <w:t>IBEC</w:t>
      </w:r>
      <w:r w:rsidRPr="002A671F">
        <w:rPr>
          <w:rFonts w:ascii="Times New Roman" w:hAnsi="Times New Roman" w:cs="Times New Roman"/>
          <w:sz w:val="24"/>
          <w:szCs w:val="24"/>
        </w:rPr>
        <w:tab/>
      </w:r>
      <w:r w:rsidRPr="002A671F">
        <w:rPr>
          <w:rFonts w:ascii="Times New Roman" w:hAnsi="Times New Roman" w:cs="Times New Roman"/>
          <w:sz w:val="24"/>
          <w:szCs w:val="24"/>
        </w:rPr>
        <w:tab/>
        <w:t>Inter-Governmental Budget and Economic Council</w:t>
      </w:r>
    </w:p>
    <w:p w14:paraId="3B6B3E9C" w14:textId="3BDF3EB8" w:rsidR="002A671F" w:rsidRPr="002A671F" w:rsidRDefault="002A671F" w:rsidP="002A671F">
      <w:pPr>
        <w:spacing w:after="0"/>
        <w:rPr>
          <w:rFonts w:ascii="Times New Roman" w:hAnsi="Times New Roman" w:cs="Times New Roman"/>
          <w:sz w:val="24"/>
          <w:szCs w:val="24"/>
        </w:rPr>
      </w:pPr>
      <w:r w:rsidRPr="002A671F">
        <w:rPr>
          <w:rFonts w:ascii="Times New Roman" w:hAnsi="Times New Roman" w:cs="Times New Roman"/>
          <w:sz w:val="24"/>
          <w:szCs w:val="24"/>
        </w:rPr>
        <w:t>ICT</w:t>
      </w:r>
      <w:r w:rsidRPr="002A671F">
        <w:rPr>
          <w:rFonts w:ascii="Times New Roman" w:hAnsi="Times New Roman" w:cs="Times New Roman"/>
          <w:sz w:val="24"/>
          <w:szCs w:val="24"/>
        </w:rPr>
        <w:tab/>
      </w:r>
      <w:r w:rsidRPr="002A671F">
        <w:rPr>
          <w:rFonts w:ascii="Times New Roman" w:hAnsi="Times New Roman" w:cs="Times New Roman"/>
          <w:sz w:val="24"/>
          <w:szCs w:val="24"/>
        </w:rPr>
        <w:tab/>
        <w:t>Information and Communication Technology</w:t>
      </w:r>
    </w:p>
    <w:p w14:paraId="1C4DCCBA" w14:textId="7E75F753" w:rsidR="002A671F" w:rsidRPr="002A671F" w:rsidRDefault="002A671F" w:rsidP="002A671F">
      <w:pPr>
        <w:spacing w:after="0"/>
        <w:rPr>
          <w:rFonts w:ascii="Times New Roman" w:hAnsi="Times New Roman" w:cs="Times New Roman"/>
          <w:sz w:val="24"/>
          <w:szCs w:val="24"/>
        </w:rPr>
      </w:pPr>
      <w:r w:rsidRPr="002A671F">
        <w:rPr>
          <w:rFonts w:ascii="Times New Roman" w:hAnsi="Times New Roman" w:cs="Times New Roman"/>
          <w:sz w:val="24"/>
          <w:szCs w:val="24"/>
        </w:rPr>
        <w:t>IFMIS</w:t>
      </w:r>
      <w:r w:rsidRPr="002A671F">
        <w:rPr>
          <w:rFonts w:ascii="Times New Roman" w:hAnsi="Times New Roman" w:cs="Times New Roman"/>
          <w:sz w:val="24"/>
          <w:szCs w:val="24"/>
        </w:rPr>
        <w:tab/>
      </w:r>
      <w:r w:rsidRPr="002A671F">
        <w:rPr>
          <w:rFonts w:ascii="Times New Roman" w:hAnsi="Times New Roman" w:cs="Times New Roman"/>
          <w:sz w:val="24"/>
          <w:szCs w:val="24"/>
        </w:rPr>
        <w:tab/>
        <w:t>Integrated Financial Management Information System</w:t>
      </w:r>
    </w:p>
    <w:p w14:paraId="6FB3BE2E" w14:textId="0E9E2D3B" w:rsidR="002A671F" w:rsidRPr="002A671F" w:rsidRDefault="002A671F" w:rsidP="002A671F">
      <w:pPr>
        <w:spacing w:after="0"/>
        <w:rPr>
          <w:rFonts w:ascii="Times New Roman" w:hAnsi="Times New Roman" w:cs="Times New Roman"/>
          <w:sz w:val="24"/>
          <w:szCs w:val="24"/>
        </w:rPr>
      </w:pPr>
      <w:r w:rsidRPr="002A671F">
        <w:rPr>
          <w:rFonts w:ascii="Times New Roman" w:hAnsi="Times New Roman" w:cs="Times New Roman"/>
          <w:sz w:val="24"/>
          <w:szCs w:val="24"/>
        </w:rPr>
        <w:t>KNBS</w:t>
      </w:r>
      <w:r w:rsidRPr="002A671F">
        <w:rPr>
          <w:rFonts w:ascii="Times New Roman" w:hAnsi="Times New Roman" w:cs="Times New Roman"/>
          <w:sz w:val="24"/>
          <w:szCs w:val="24"/>
        </w:rPr>
        <w:tab/>
      </w:r>
      <w:r w:rsidRPr="002A671F">
        <w:rPr>
          <w:rFonts w:ascii="Times New Roman" w:hAnsi="Times New Roman" w:cs="Times New Roman"/>
          <w:sz w:val="24"/>
          <w:szCs w:val="24"/>
        </w:rPr>
        <w:tab/>
        <w:t>Kenya National Bureau of Statistics</w:t>
      </w:r>
    </w:p>
    <w:p w14:paraId="5D93D6E8" w14:textId="6539F07F" w:rsidR="002A671F" w:rsidRPr="002A671F" w:rsidRDefault="002A671F" w:rsidP="002A671F">
      <w:pPr>
        <w:spacing w:after="0"/>
        <w:rPr>
          <w:rFonts w:ascii="Times New Roman" w:hAnsi="Times New Roman" w:cs="Times New Roman"/>
          <w:sz w:val="24"/>
          <w:szCs w:val="24"/>
        </w:rPr>
      </w:pPr>
      <w:r w:rsidRPr="002A671F">
        <w:rPr>
          <w:rFonts w:ascii="Times New Roman" w:hAnsi="Times New Roman" w:cs="Times New Roman"/>
          <w:sz w:val="24"/>
          <w:szCs w:val="24"/>
        </w:rPr>
        <w:t>MTEF</w:t>
      </w:r>
      <w:r w:rsidRPr="002A671F">
        <w:rPr>
          <w:rFonts w:ascii="Times New Roman" w:hAnsi="Times New Roman" w:cs="Times New Roman"/>
          <w:sz w:val="24"/>
          <w:szCs w:val="24"/>
        </w:rPr>
        <w:tab/>
      </w:r>
      <w:r w:rsidRPr="002A671F">
        <w:rPr>
          <w:rFonts w:ascii="Times New Roman" w:hAnsi="Times New Roman" w:cs="Times New Roman"/>
          <w:sz w:val="24"/>
          <w:szCs w:val="24"/>
        </w:rPr>
        <w:tab/>
        <w:t>Medium Term Expenditure Framework</w:t>
      </w:r>
    </w:p>
    <w:p w14:paraId="0BA86737" w14:textId="7ACC1D96" w:rsidR="002A671F" w:rsidRPr="002A671F" w:rsidRDefault="002A671F" w:rsidP="002A671F">
      <w:pPr>
        <w:spacing w:after="0"/>
        <w:rPr>
          <w:rFonts w:ascii="Times New Roman" w:hAnsi="Times New Roman" w:cs="Times New Roman"/>
          <w:sz w:val="24"/>
          <w:szCs w:val="24"/>
        </w:rPr>
      </w:pPr>
      <w:r w:rsidRPr="002A671F">
        <w:rPr>
          <w:rFonts w:ascii="Times New Roman" w:hAnsi="Times New Roman" w:cs="Times New Roman"/>
          <w:sz w:val="24"/>
          <w:szCs w:val="24"/>
        </w:rPr>
        <w:t>MTP</w:t>
      </w:r>
      <w:r w:rsidRPr="002A671F">
        <w:rPr>
          <w:rFonts w:ascii="Times New Roman" w:hAnsi="Times New Roman" w:cs="Times New Roman"/>
          <w:sz w:val="24"/>
          <w:szCs w:val="24"/>
        </w:rPr>
        <w:tab/>
      </w:r>
      <w:r w:rsidRPr="002A671F">
        <w:rPr>
          <w:rFonts w:ascii="Times New Roman" w:hAnsi="Times New Roman" w:cs="Times New Roman"/>
          <w:sz w:val="24"/>
          <w:szCs w:val="24"/>
        </w:rPr>
        <w:tab/>
        <w:t>Medium-Term Plan</w:t>
      </w:r>
    </w:p>
    <w:p w14:paraId="568C4FCB" w14:textId="03980173" w:rsidR="002A671F" w:rsidRPr="002A671F" w:rsidRDefault="002A671F" w:rsidP="002A671F">
      <w:pPr>
        <w:spacing w:after="0"/>
        <w:rPr>
          <w:rFonts w:ascii="Times New Roman" w:hAnsi="Times New Roman" w:cs="Times New Roman"/>
          <w:sz w:val="24"/>
          <w:szCs w:val="24"/>
        </w:rPr>
      </w:pPr>
      <w:r w:rsidRPr="002A671F">
        <w:rPr>
          <w:rFonts w:ascii="Times New Roman" w:hAnsi="Times New Roman" w:cs="Times New Roman"/>
          <w:sz w:val="24"/>
          <w:szCs w:val="24"/>
        </w:rPr>
        <w:t>PE</w:t>
      </w:r>
      <w:r w:rsidRPr="002A671F">
        <w:rPr>
          <w:rFonts w:ascii="Times New Roman" w:hAnsi="Times New Roman" w:cs="Times New Roman"/>
          <w:sz w:val="24"/>
          <w:szCs w:val="24"/>
        </w:rPr>
        <w:tab/>
      </w:r>
      <w:r w:rsidRPr="002A671F">
        <w:rPr>
          <w:rFonts w:ascii="Times New Roman" w:hAnsi="Times New Roman" w:cs="Times New Roman"/>
          <w:sz w:val="24"/>
          <w:szCs w:val="24"/>
        </w:rPr>
        <w:tab/>
        <w:t>Personnel Emoluments</w:t>
      </w:r>
    </w:p>
    <w:p w14:paraId="5FDDFC08" w14:textId="797C594A" w:rsidR="002A671F" w:rsidRPr="002A671F" w:rsidRDefault="002A671F" w:rsidP="002A671F">
      <w:pPr>
        <w:spacing w:after="0"/>
        <w:rPr>
          <w:rFonts w:ascii="Times New Roman" w:hAnsi="Times New Roman" w:cs="Times New Roman"/>
          <w:sz w:val="24"/>
          <w:szCs w:val="24"/>
        </w:rPr>
      </w:pPr>
      <w:r w:rsidRPr="002A671F">
        <w:rPr>
          <w:rFonts w:ascii="Times New Roman" w:hAnsi="Times New Roman" w:cs="Times New Roman"/>
          <w:sz w:val="24"/>
          <w:szCs w:val="24"/>
        </w:rPr>
        <w:t>PFM</w:t>
      </w:r>
      <w:r w:rsidRPr="002A671F">
        <w:rPr>
          <w:rFonts w:ascii="Times New Roman" w:hAnsi="Times New Roman" w:cs="Times New Roman"/>
          <w:sz w:val="24"/>
          <w:szCs w:val="24"/>
        </w:rPr>
        <w:tab/>
      </w:r>
      <w:r w:rsidRPr="002A671F">
        <w:rPr>
          <w:rFonts w:ascii="Times New Roman" w:hAnsi="Times New Roman" w:cs="Times New Roman"/>
          <w:sz w:val="24"/>
          <w:szCs w:val="24"/>
        </w:rPr>
        <w:tab/>
        <w:t>Public Finance Management</w:t>
      </w:r>
    </w:p>
    <w:p w14:paraId="621A9E37" w14:textId="327A54C9" w:rsidR="002A671F" w:rsidRPr="002A671F" w:rsidRDefault="002A671F" w:rsidP="002A671F">
      <w:pPr>
        <w:spacing w:after="0"/>
        <w:rPr>
          <w:rFonts w:ascii="Times New Roman" w:hAnsi="Times New Roman" w:cs="Times New Roman"/>
          <w:sz w:val="24"/>
          <w:szCs w:val="24"/>
        </w:rPr>
      </w:pPr>
      <w:r w:rsidRPr="002A671F">
        <w:rPr>
          <w:rFonts w:ascii="Times New Roman" w:hAnsi="Times New Roman" w:cs="Times New Roman"/>
          <w:sz w:val="24"/>
          <w:szCs w:val="24"/>
        </w:rPr>
        <w:t>PWD</w:t>
      </w:r>
      <w:r w:rsidRPr="002A671F">
        <w:rPr>
          <w:rFonts w:ascii="Times New Roman" w:hAnsi="Times New Roman" w:cs="Times New Roman"/>
          <w:sz w:val="24"/>
          <w:szCs w:val="24"/>
        </w:rPr>
        <w:tab/>
      </w:r>
      <w:r w:rsidRPr="002A671F">
        <w:rPr>
          <w:rFonts w:ascii="Times New Roman" w:hAnsi="Times New Roman" w:cs="Times New Roman"/>
          <w:sz w:val="24"/>
          <w:szCs w:val="24"/>
        </w:rPr>
        <w:tab/>
        <w:t>People with Disabilities</w:t>
      </w:r>
    </w:p>
    <w:p w14:paraId="32347F9E" w14:textId="1A1361E3" w:rsidR="002A671F" w:rsidRPr="002A671F" w:rsidRDefault="002A671F" w:rsidP="002A671F">
      <w:pPr>
        <w:spacing w:after="0"/>
        <w:rPr>
          <w:rFonts w:ascii="Times New Roman" w:hAnsi="Times New Roman" w:cs="Times New Roman"/>
          <w:sz w:val="24"/>
          <w:szCs w:val="24"/>
        </w:rPr>
      </w:pPr>
      <w:r w:rsidRPr="002A671F">
        <w:rPr>
          <w:rFonts w:ascii="Times New Roman" w:hAnsi="Times New Roman" w:cs="Times New Roman"/>
          <w:sz w:val="24"/>
          <w:szCs w:val="24"/>
        </w:rPr>
        <w:t>SRC</w:t>
      </w:r>
      <w:r w:rsidRPr="002A671F">
        <w:rPr>
          <w:rFonts w:ascii="Times New Roman" w:hAnsi="Times New Roman" w:cs="Times New Roman"/>
          <w:sz w:val="24"/>
          <w:szCs w:val="24"/>
        </w:rPr>
        <w:tab/>
      </w:r>
      <w:r w:rsidRPr="002A671F">
        <w:rPr>
          <w:rFonts w:ascii="Times New Roman" w:hAnsi="Times New Roman" w:cs="Times New Roman"/>
          <w:sz w:val="24"/>
          <w:szCs w:val="24"/>
        </w:rPr>
        <w:tab/>
        <w:t>Salaries and Remuneration Commission</w:t>
      </w:r>
    </w:p>
    <w:p w14:paraId="243D216E" w14:textId="32BEF692" w:rsidR="00A8135F" w:rsidRPr="00944A64" w:rsidRDefault="002A671F" w:rsidP="00944A64">
      <w:pPr>
        <w:spacing w:after="0"/>
        <w:rPr>
          <w:rFonts w:ascii="Times New Roman" w:hAnsi="Times New Roman" w:cs="Times New Roman"/>
          <w:sz w:val="24"/>
          <w:szCs w:val="24"/>
        </w:rPr>
      </w:pPr>
      <w:r w:rsidRPr="002A671F">
        <w:rPr>
          <w:rFonts w:ascii="Times New Roman" w:hAnsi="Times New Roman" w:cs="Times New Roman"/>
          <w:sz w:val="24"/>
          <w:szCs w:val="24"/>
        </w:rPr>
        <w:t>SWGs</w:t>
      </w:r>
      <w:r w:rsidRPr="002A671F">
        <w:rPr>
          <w:rFonts w:ascii="Times New Roman" w:hAnsi="Times New Roman" w:cs="Times New Roman"/>
          <w:sz w:val="24"/>
          <w:szCs w:val="24"/>
        </w:rPr>
        <w:tab/>
      </w:r>
      <w:r w:rsidRPr="002A671F">
        <w:rPr>
          <w:rFonts w:ascii="Times New Roman" w:hAnsi="Times New Roman" w:cs="Times New Roman"/>
          <w:sz w:val="24"/>
          <w:szCs w:val="24"/>
        </w:rPr>
        <w:tab/>
        <w:t>Sector Working Groups</w:t>
      </w:r>
      <w:r w:rsidR="00A8135F">
        <w:rPr>
          <w:rFonts w:ascii="Times New Roman" w:hAnsi="Times New Roman" w:cs="Times New Roman"/>
          <w:sz w:val="24"/>
          <w:szCs w:val="24"/>
        </w:rPr>
        <w:br w:type="page"/>
      </w:r>
    </w:p>
    <w:p w14:paraId="4F69FCE4" w14:textId="205337EF" w:rsidR="000B4734" w:rsidRPr="00766EF1" w:rsidRDefault="000B4734" w:rsidP="00223805">
      <w:pPr>
        <w:pStyle w:val="Heading1"/>
        <w:spacing w:after="240"/>
        <w:rPr>
          <w:rFonts w:ascii="Times New Roman" w:hAnsi="Times New Roman" w:cs="Times New Roman"/>
          <w:color w:val="auto"/>
          <w:sz w:val="24"/>
          <w:szCs w:val="24"/>
        </w:rPr>
      </w:pPr>
      <w:bookmarkStart w:id="3" w:name="_Toc23266814"/>
      <w:r w:rsidRPr="00766EF1">
        <w:rPr>
          <w:rFonts w:ascii="Times New Roman" w:hAnsi="Times New Roman" w:cs="Times New Roman"/>
          <w:color w:val="auto"/>
          <w:sz w:val="24"/>
          <w:szCs w:val="24"/>
        </w:rPr>
        <w:lastRenderedPageBreak/>
        <w:t>LIST OF TABLES</w:t>
      </w:r>
      <w:r w:rsidR="006006A7" w:rsidRPr="00766EF1">
        <w:rPr>
          <w:rFonts w:ascii="Times New Roman" w:hAnsi="Times New Roman" w:cs="Times New Roman"/>
          <w:color w:val="auto"/>
          <w:sz w:val="24"/>
          <w:szCs w:val="24"/>
        </w:rPr>
        <w:t xml:space="preserve"> AND FIGURES</w:t>
      </w:r>
      <w:bookmarkEnd w:id="3"/>
    </w:p>
    <w:p w14:paraId="77D45959" w14:textId="77777777" w:rsidR="00A3323A" w:rsidRPr="00766EF1" w:rsidRDefault="00A3323A" w:rsidP="00A3323A">
      <w:pPr>
        <w:tabs>
          <w:tab w:val="left" w:pos="2355"/>
        </w:tabs>
        <w:spacing w:after="0"/>
        <w:rPr>
          <w:rFonts w:ascii="Times New Roman" w:hAnsi="Times New Roman" w:cs="Times New Roman"/>
          <w:b/>
          <w:sz w:val="24"/>
          <w:szCs w:val="24"/>
        </w:rPr>
      </w:pPr>
      <w:r w:rsidRPr="00766EF1">
        <w:rPr>
          <w:rFonts w:ascii="Times New Roman" w:hAnsi="Times New Roman" w:cs="Times New Roman"/>
          <w:b/>
          <w:sz w:val="24"/>
          <w:szCs w:val="24"/>
        </w:rPr>
        <w:t>List of Tables</w:t>
      </w:r>
    </w:p>
    <w:p w14:paraId="2874913C" w14:textId="77777777" w:rsidR="00A3323A" w:rsidRPr="00766EF1" w:rsidRDefault="00A3323A" w:rsidP="00A3323A">
      <w:pPr>
        <w:tabs>
          <w:tab w:val="left" w:pos="2355"/>
        </w:tabs>
        <w:spacing w:after="0"/>
        <w:rPr>
          <w:rFonts w:ascii="Times New Roman" w:hAnsi="Times New Roman" w:cs="Times New Roman"/>
          <w:b/>
          <w:sz w:val="24"/>
          <w:szCs w:val="24"/>
        </w:rPr>
      </w:pPr>
    </w:p>
    <w:p w14:paraId="1AF485D6" w14:textId="77777777" w:rsidR="00A3323A" w:rsidRPr="00766EF1" w:rsidRDefault="00A3323A" w:rsidP="00A3323A">
      <w:pPr>
        <w:spacing w:after="0"/>
        <w:rPr>
          <w:rFonts w:ascii="Times New Roman" w:hAnsi="Times New Roman" w:cs="Times New Roman"/>
          <w:sz w:val="24"/>
          <w:szCs w:val="24"/>
        </w:rPr>
      </w:pPr>
      <w:r w:rsidRPr="00766EF1">
        <w:rPr>
          <w:rFonts w:ascii="Times New Roman" w:hAnsi="Times New Roman" w:cs="Times New Roman"/>
          <w:sz w:val="24"/>
          <w:szCs w:val="24"/>
        </w:rPr>
        <w:t xml:space="preserve">Table 2.1: </w:t>
      </w:r>
      <w:r w:rsidRPr="00766EF1">
        <w:rPr>
          <w:rFonts w:ascii="Times New Roman" w:hAnsi="Times New Roman" w:cs="Times New Roman"/>
          <w:sz w:val="24"/>
          <w:szCs w:val="24"/>
        </w:rPr>
        <w:tab/>
        <w:t xml:space="preserve">County Fiscal Performance </w:t>
      </w:r>
    </w:p>
    <w:p w14:paraId="31BF30D2" w14:textId="77777777" w:rsidR="00A3323A" w:rsidRPr="00766EF1" w:rsidRDefault="00A3323A" w:rsidP="00A3323A">
      <w:pPr>
        <w:spacing w:after="0"/>
        <w:rPr>
          <w:rFonts w:ascii="Times New Roman" w:hAnsi="Times New Roman" w:cs="Times New Roman"/>
          <w:sz w:val="24"/>
          <w:szCs w:val="24"/>
        </w:rPr>
      </w:pPr>
      <w:r w:rsidRPr="00766EF1">
        <w:rPr>
          <w:rFonts w:ascii="Times New Roman" w:hAnsi="Times New Roman" w:cs="Times New Roman"/>
          <w:sz w:val="24"/>
          <w:szCs w:val="24"/>
        </w:rPr>
        <w:t xml:space="preserve">Table 2.2: </w:t>
      </w:r>
      <w:r w:rsidRPr="00766EF1">
        <w:rPr>
          <w:rFonts w:ascii="Times New Roman" w:hAnsi="Times New Roman" w:cs="Times New Roman"/>
          <w:sz w:val="24"/>
          <w:szCs w:val="24"/>
        </w:rPr>
        <w:tab/>
        <w:t>Revenue Performance per stream</w:t>
      </w:r>
    </w:p>
    <w:p w14:paraId="0EC0A61C" w14:textId="2A5C04CD" w:rsidR="00A3323A" w:rsidRPr="00766EF1" w:rsidRDefault="00A3323A" w:rsidP="00A3323A">
      <w:pPr>
        <w:spacing w:after="0"/>
        <w:rPr>
          <w:rFonts w:ascii="Times New Roman" w:hAnsi="Times New Roman" w:cs="Times New Roman"/>
          <w:sz w:val="24"/>
          <w:szCs w:val="24"/>
        </w:rPr>
      </w:pPr>
      <w:r w:rsidRPr="00766EF1">
        <w:rPr>
          <w:rFonts w:ascii="Times New Roman" w:hAnsi="Times New Roman" w:cs="Times New Roman"/>
          <w:sz w:val="24"/>
          <w:szCs w:val="24"/>
        </w:rPr>
        <w:t>Table 2.</w:t>
      </w:r>
      <w:r>
        <w:rPr>
          <w:rFonts w:ascii="Times New Roman" w:hAnsi="Times New Roman" w:cs="Times New Roman"/>
          <w:sz w:val="24"/>
          <w:szCs w:val="24"/>
        </w:rPr>
        <w:t>3:        Absorption rates per sector compared</w:t>
      </w:r>
      <w:r w:rsidR="000615DF">
        <w:rPr>
          <w:rFonts w:ascii="Times New Roman" w:hAnsi="Times New Roman" w:cs="Times New Roman"/>
          <w:sz w:val="24"/>
          <w:szCs w:val="24"/>
        </w:rPr>
        <w:t xml:space="preserve"> with CFSP 2018</w:t>
      </w:r>
    </w:p>
    <w:p w14:paraId="0FB12E08" w14:textId="3D54780B" w:rsidR="00A3323A" w:rsidRPr="00766EF1" w:rsidRDefault="00A3323A" w:rsidP="00A3323A">
      <w:pPr>
        <w:spacing w:after="0"/>
        <w:rPr>
          <w:rFonts w:ascii="Times New Roman" w:hAnsi="Times New Roman" w:cs="Times New Roman"/>
          <w:sz w:val="24"/>
          <w:szCs w:val="24"/>
        </w:rPr>
      </w:pPr>
      <w:r w:rsidRPr="00766EF1">
        <w:rPr>
          <w:rFonts w:ascii="Times New Roman" w:hAnsi="Times New Roman" w:cs="Times New Roman"/>
          <w:sz w:val="24"/>
          <w:szCs w:val="24"/>
        </w:rPr>
        <w:t xml:space="preserve">Table 2.4: </w:t>
      </w:r>
      <w:r w:rsidRPr="00766EF1">
        <w:rPr>
          <w:rFonts w:ascii="Times New Roman" w:hAnsi="Times New Roman" w:cs="Times New Roman"/>
          <w:sz w:val="24"/>
          <w:szCs w:val="24"/>
        </w:rPr>
        <w:tab/>
        <w:t xml:space="preserve">County </w:t>
      </w:r>
      <w:r w:rsidR="00AD69E7">
        <w:rPr>
          <w:rFonts w:ascii="Times New Roman" w:hAnsi="Times New Roman" w:cs="Times New Roman"/>
          <w:sz w:val="24"/>
          <w:szCs w:val="24"/>
        </w:rPr>
        <w:t>Projected Revenues for the FY 2020/21</w:t>
      </w:r>
    </w:p>
    <w:p w14:paraId="1B3FA2AE" w14:textId="3A7ED139" w:rsidR="00A3323A" w:rsidRDefault="00A3323A" w:rsidP="00A3323A">
      <w:pPr>
        <w:spacing w:after="0"/>
        <w:rPr>
          <w:rFonts w:ascii="Times New Roman" w:hAnsi="Times New Roman" w:cs="Times New Roman"/>
          <w:sz w:val="24"/>
          <w:szCs w:val="24"/>
        </w:rPr>
      </w:pPr>
      <w:r w:rsidRPr="00766EF1">
        <w:rPr>
          <w:rFonts w:ascii="Times New Roman" w:hAnsi="Times New Roman" w:cs="Times New Roman"/>
          <w:sz w:val="24"/>
          <w:szCs w:val="24"/>
        </w:rPr>
        <w:t xml:space="preserve">Table 2.5: </w:t>
      </w:r>
      <w:r w:rsidRPr="00766EF1">
        <w:rPr>
          <w:rFonts w:ascii="Times New Roman" w:hAnsi="Times New Roman" w:cs="Times New Roman"/>
          <w:sz w:val="24"/>
          <w:szCs w:val="24"/>
        </w:rPr>
        <w:tab/>
      </w:r>
      <w:r w:rsidR="00AD69E7" w:rsidRPr="00AD69E7">
        <w:rPr>
          <w:rFonts w:ascii="Times New Roman" w:hAnsi="Times New Roman" w:cs="Times New Roman"/>
          <w:sz w:val="24"/>
          <w:szCs w:val="24"/>
        </w:rPr>
        <w:t>Table 2.5 Summary of Indicative Department Ceilings for FY 2020/21 MTEF</w:t>
      </w:r>
    </w:p>
    <w:p w14:paraId="2A91C4D9" w14:textId="789EF49A" w:rsidR="00AD69E7" w:rsidRPr="00AD69E7" w:rsidRDefault="00AD69E7" w:rsidP="00AD69E7">
      <w:pPr>
        <w:spacing w:after="0"/>
        <w:rPr>
          <w:rFonts w:ascii="Times New Roman" w:hAnsi="Times New Roman" w:cs="Times New Roman"/>
          <w:sz w:val="24"/>
          <w:szCs w:val="24"/>
        </w:rPr>
      </w:pPr>
      <w:r w:rsidRPr="00AD69E7">
        <w:rPr>
          <w:rFonts w:ascii="Times New Roman" w:hAnsi="Times New Roman" w:cs="Times New Roman"/>
          <w:sz w:val="24"/>
          <w:szCs w:val="24"/>
        </w:rPr>
        <w:t>Table 2.</w:t>
      </w:r>
      <w:r w:rsidR="00497264">
        <w:rPr>
          <w:rFonts w:ascii="Times New Roman" w:hAnsi="Times New Roman" w:cs="Times New Roman"/>
          <w:sz w:val="24"/>
          <w:szCs w:val="24"/>
        </w:rPr>
        <w:t>6</w:t>
      </w:r>
      <w:r w:rsidRPr="00AD69E7">
        <w:rPr>
          <w:rFonts w:ascii="Times New Roman" w:hAnsi="Times New Roman" w:cs="Times New Roman"/>
          <w:sz w:val="24"/>
          <w:szCs w:val="24"/>
        </w:rPr>
        <w:t xml:space="preserve">         Summary of Expenditure Projections 2020/21-2022/23 FY and MTEF</w:t>
      </w:r>
    </w:p>
    <w:p w14:paraId="44CA93B8" w14:textId="77777777" w:rsidR="00AD69E7" w:rsidRPr="00766EF1" w:rsidRDefault="00AD69E7" w:rsidP="00A3323A">
      <w:pPr>
        <w:spacing w:after="0"/>
        <w:rPr>
          <w:rFonts w:ascii="Times New Roman" w:hAnsi="Times New Roman" w:cs="Times New Roman"/>
          <w:sz w:val="24"/>
          <w:szCs w:val="24"/>
        </w:rPr>
      </w:pPr>
    </w:p>
    <w:p w14:paraId="189C5987" w14:textId="77777777" w:rsidR="00CE566E" w:rsidRDefault="00CE566E" w:rsidP="00A3323A">
      <w:pPr>
        <w:spacing w:after="0"/>
        <w:rPr>
          <w:rFonts w:ascii="Times New Roman" w:hAnsi="Times New Roman" w:cs="Times New Roman"/>
          <w:sz w:val="24"/>
          <w:szCs w:val="24"/>
        </w:rPr>
      </w:pPr>
    </w:p>
    <w:p w14:paraId="41233EA6" w14:textId="77777777" w:rsidR="00CE566E" w:rsidRDefault="00CE566E" w:rsidP="00A3323A">
      <w:pPr>
        <w:spacing w:after="0"/>
        <w:rPr>
          <w:rFonts w:ascii="Times New Roman" w:hAnsi="Times New Roman" w:cs="Times New Roman"/>
          <w:sz w:val="24"/>
          <w:szCs w:val="24"/>
        </w:rPr>
      </w:pPr>
    </w:p>
    <w:p w14:paraId="00273F66" w14:textId="77777777" w:rsidR="00CE566E" w:rsidRDefault="00CE566E" w:rsidP="00A3323A">
      <w:pPr>
        <w:spacing w:after="0"/>
        <w:rPr>
          <w:rFonts w:ascii="Times New Roman" w:hAnsi="Times New Roman" w:cs="Times New Roman"/>
          <w:sz w:val="24"/>
          <w:szCs w:val="24"/>
        </w:rPr>
      </w:pPr>
    </w:p>
    <w:p w14:paraId="7CB7DE67" w14:textId="77777777" w:rsidR="00CE566E" w:rsidRDefault="00CE566E" w:rsidP="00A3323A">
      <w:pPr>
        <w:spacing w:after="0"/>
        <w:rPr>
          <w:rFonts w:ascii="Times New Roman" w:hAnsi="Times New Roman" w:cs="Times New Roman"/>
          <w:sz w:val="24"/>
          <w:szCs w:val="24"/>
        </w:rPr>
      </w:pPr>
    </w:p>
    <w:p w14:paraId="34DC1805" w14:textId="77777777" w:rsidR="00CE566E" w:rsidRDefault="00CE566E" w:rsidP="00A3323A">
      <w:pPr>
        <w:spacing w:after="0"/>
        <w:rPr>
          <w:rFonts w:ascii="Times New Roman" w:hAnsi="Times New Roman" w:cs="Times New Roman"/>
          <w:sz w:val="24"/>
          <w:szCs w:val="24"/>
        </w:rPr>
      </w:pPr>
    </w:p>
    <w:p w14:paraId="7A92509A" w14:textId="77777777" w:rsidR="00CE566E" w:rsidRDefault="00CE566E" w:rsidP="00A3323A">
      <w:pPr>
        <w:spacing w:after="0"/>
        <w:rPr>
          <w:rFonts w:ascii="Times New Roman" w:hAnsi="Times New Roman" w:cs="Times New Roman"/>
          <w:sz w:val="24"/>
          <w:szCs w:val="24"/>
        </w:rPr>
      </w:pPr>
    </w:p>
    <w:p w14:paraId="5A2B2D83" w14:textId="77777777" w:rsidR="00CE566E" w:rsidRDefault="00CE566E" w:rsidP="00A3323A">
      <w:pPr>
        <w:spacing w:after="0"/>
        <w:rPr>
          <w:rFonts w:ascii="Times New Roman" w:hAnsi="Times New Roman" w:cs="Times New Roman"/>
          <w:sz w:val="24"/>
          <w:szCs w:val="24"/>
        </w:rPr>
      </w:pPr>
    </w:p>
    <w:p w14:paraId="457DE750" w14:textId="77777777" w:rsidR="00CE566E" w:rsidRDefault="00CE566E" w:rsidP="00A3323A">
      <w:pPr>
        <w:spacing w:after="0"/>
        <w:rPr>
          <w:rFonts w:ascii="Times New Roman" w:hAnsi="Times New Roman" w:cs="Times New Roman"/>
          <w:sz w:val="24"/>
          <w:szCs w:val="24"/>
        </w:rPr>
      </w:pPr>
    </w:p>
    <w:p w14:paraId="0A1FB10C" w14:textId="77777777" w:rsidR="00CE566E" w:rsidRDefault="00CE566E" w:rsidP="00A3323A">
      <w:pPr>
        <w:spacing w:after="0"/>
        <w:rPr>
          <w:rFonts w:ascii="Times New Roman" w:hAnsi="Times New Roman" w:cs="Times New Roman"/>
          <w:sz w:val="24"/>
          <w:szCs w:val="24"/>
        </w:rPr>
      </w:pPr>
    </w:p>
    <w:p w14:paraId="7CD7C9AF" w14:textId="77777777" w:rsidR="00CE566E" w:rsidRDefault="00CE566E" w:rsidP="00A3323A">
      <w:pPr>
        <w:spacing w:after="0"/>
        <w:rPr>
          <w:rFonts w:ascii="Times New Roman" w:hAnsi="Times New Roman" w:cs="Times New Roman"/>
          <w:sz w:val="24"/>
          <w:szCs w:val="24"/>
        </w:rPr>
      </w:pPr>
    </w:p>
    <w:p w14:paraId="7D6144D8" w14:textId="77777777" w:rsidR="00CE566E" w:rsidRDefault="00CE566E" w:rsidP="00A3323A">
      <w:pPr>
        <w:spacing w:after="0"/>
        <w:rPr>
          <w:rFonts w:ascii="Times New Roman" w:hAnsi="Times New Roman" w:cs="Times New Roman"/>
          <w:sz w:val="24"/>
          <w:szCs w:val="24"/>
        </w:rPr>
      </w:pPr>
    </w:p>
    <w:p w14:paraId="179AFF7E" w14:textId="77777777" w:rsidR="00CE566E" w:rsidRDefault="00CE566E" w:rsidP="00A3323A">
      <w:pPr>
        <w:spacing w:after="0"/>
        <w:rPr>
          <w:rFonts w:ascii="Times New Roman" w:hAnsi="Times New Roman" w:cs="Times New Roman"/>
          <w:sz w:val="24"/>
          <w:szCs w:val="24"/>
        </w:rPr>
      </w:pPr>
    </w:p>
    <w:p w14:paraId="30484357" w14:textId="77777777" w:rsidR="00CE566E" w:rsidRDefault="00CE566E" w:rsidP="00A3323A">
      <w:pPr>
        <w:spacing w:after="0"/>
        <w:rPr>
          <w:rFonts w:ascii="Times New Roman" w:hAnsi="Times New Roman" w:cs="Times New Roman"/>
          <w:sz w:val="24"/>
          <w:szCs w:val="24"/>
        </w:rPr>
      </w:pPr>
    </w:p>
    <w:p w14:paraId="5F4C2DC8" w14:textId="77777777" w:rsidR="00CE566E" w:rsidRDefault="00CE566E" w:rsidP="00A3323A">
      <w:pPr>
        <w:spacing w:after="0"/>
        <w:rPr>
          <w:rFonts w:ascii="Times New Roman" w:hAnsi="Times New Roman" w:cs="Times New Roman"/>
          <w:sz w:val="24"/>
          <w:szCs w:val="24"/>
        </w:rPr>
      </w:pPr>
    </w:p>
    <w:p w14:paraId="08852EF2" w14:textId="77777777" w:rsidR="00CE566E" w:rsidRDefault="00CE566E" w:rsidP="00A3323A">
      <w:pPr>
        <w:spacing w:after="0"/>
        <w:rPr>
          <w:rFonts w:ascii="Times New Roman" w:hAnsi="Times New Roman" w:cs="Times New Roman"/>
          <w:sz w:val="24"/>
          <w:szCs w:val="24"/>
        </w:rPr>
      </w:pPr>
    </w:p>
    <w:p w14:paraId="7866B2DB" w14:textId="77777777" w:rsidR="00CE566E" w:rsidRDefault="00CE566E" w:rsidP="00A3323A">
      <w:pPr>
        <w:spacing w:after="0"/>
        <w:rPr>
          <w:rFonts w:ascii="Times New Roman" w:hAnsi="Times New Roman" w:cs="Times New Roman"/>
          <w:sz w:val="24"/>
          <w:szCs w:val="24"/>
        </w:rPr>
      </w:pPr>
    </w:p>
    <w:p w14:paraId="16E87D90" w14:textId="77777777" w:rsidR="00CE566E" w:rsidRDefault="00CE566E" w:rsidP="00A3323A">
      <w:pPr>
        <w:spacing w:after="0"/>
        <w:rPr>
          <w:rFonts w:ascii="Times New Roman" w:hAnsi="Times New Roman" w:cs="Times New Roman"/>
          <w:sz w:val="24"/>
          <w:szCs w:val="24"/>
        </w:rPr>
      </w:pPr>
    </w:p>
    <w:p w14:paraId="7025B67B" w14:textId="77777777" w:rsidR="00CE566E" w:rsidRDefault="00CE566E" w:rsidP="00A3323A">
      <w:pPr>
        <w:spacing w:after="0"/>
        <w:rPr>
          <w:rFonts w:ascii="Times New Roman" w:hAnsi="Times New Roman" w:cs="Times New Roman"/>
          <w:sz w:val="24"/>
          <w:szCs w:val="24"/>
        </w:rPr>
      </w:pPr>
    </w:p>
    <w:p w14:paraId="71D67D39" w14:textId="77777777" w:rsidR="00CE566E" w:rsidRDefault="00CE566E" w:rsidP="00A3323A">
      <w:pPr>
        <w:spacing w:after="0"/>
        <w:rPr>
          <w:rFonts w:ascii="Times New Roman" w:hAnsi="Times New Roman" w:cs="Times New Roman"/>
          <w:sz w:val="24"/>
          <w:szCs w:val="24"/>
        </w:rPr>
      </w:pPr>
    </w:p>
    <w:p w14:paraId="4C8EED2A" w14:textId="77777777" w:rsidR="00CE566E" w:rsidRDefault="00CE566E" w:rsidP="00A3323A">
      <w:pPr>
        <w:spacing w:after="0"/>
        <w:rPr>
          <w:rFonts w:ascii="Times New Roman" w:hAnsi="Times New Roman" w:cs="Times New Roman"/>
          <w:sz w:val="24"/>
          <w:szCs w:val="24"/>
        </w:rPr>
      </w:pPr>
    </w:p>
    <w:p w14:paraId="222D4F08" w14:textId="77777777" w:rsidR="00CE566E" w:rsidRDefault="00CE566E" w:rsidP="00A3323A">
      <w:pPr>
        <w:spacing w:after="0"/>
        <w:rPr>
          <w:rFonts w:ascii="Times New Roman" w:hAnsi="Times New Roman" w:cs="Times New Roman"/>
          <w:sz w:val="24"/>
          <w:szCs w:val="24"/>
        </w:rPr>
      </w:pPr>
    </w:p>
    <w:p w14:paraId="3F3DB987" w14:textId="77777777" w:rsidR="00CE566E" w:rsidRDefault="00CE566E" w:rsidP="00A3323A">
      <w:pPr>
        <w:spacing w:after="0"/>
        <w:rPr>
          <w:rFonts w:ascii="Times New Roman" w:hAnsi="Times New Roman" w:cs="Times New Roman"/>
          <w:sz w:val="24"/>
          <w:szCs w:val="24"/>
        </w:rPr>
      </w:pPr>
    </w:p>
    <w:p w14:paraId="3E033ECB" w14:textId="77777777" w:rsidR="00CE566E" w:rsidRDefault="00CE566E" w:rsidP="00A3323A">
      <w:pPr>
        <w:spacing w:after="0"/>
        <w:rPr>
          <w:rFonts w:ascii="Times New Roman" w:hAnsi="Times New Roman" w:cs="Times New Roman"/>
          <w:sz w:val="24"/>
          <w:szCs w:val="24"/>
        </w:rPr>
      </w:pPr>
    </w:p>
    <w:p w14:paraId="1D8CC7EB" w14:textId="77777777" w:rsidR="00CE566E" w:rsidRDefault="00CE566E" w:rsidP="00A3323A">
      <w:pPr>
        <w:spacing w:after="0"/>
        <w:rPr>
          <w:rFonts w:ascii="Times New Roman" w:hAnsi="Times New Roman" w:cs="Times New Roman"/>
          <w:sz w:val="24"/>
          <w:szCs w:val="24"/>
        </w:rPr>
      </w:pPr>
    </w:p>
    <w:p w14:paraId="3CDE3180" w14:textId="77777777" w:rsidR="00CE566E" w:rsidRDefault="00CE566E" w:rsidP="00A3323A">
      <w:pPr>
        <w:spacing w:after="0"/>
        <w:rPr>
          <w:rFonts w:ascii="Times New Roman" w:hAnsi="Times New Roman" w:cs="Times New Roman"/>
          <w:sz w:val="24"/>
          <w:szCs w:val="24"/>
        </w:rPr>
      </w:pPr>
    </w:p>
    <w:p w14:paraId="331DDF02" w14:textId="77777777" w:rsidR="00CE566E" w:rsidRDefault="00CE566E" w:rsidP="00A3323A">
      <w:pPr>
        <w:spacing w:after="0"/>
        <w:rPr>
          <w:rFonts w:ascii="Times New Roman" w:hAnsi="Times New Roman" w:cs="Times New Roman"/>
          <w:sz w:val="24"/>
          <w:szCs w:val="24"/>
        </w:rPr>
      </w:pPr>
    </w:p>
    <w:p w14:paraId="1C010B99" w14:textId="77777777" w:rsidR="00CE566E" w:rsidRDefault="00CE566E" w:rsidP="00A3323A">
      <w:pPr>
        <w:spacing w:after="0"/>
        <w:rPr>
          <w:rFonts w:ascii="Times New Roman" w:hAnsi="Times New Roman" w:cs="Times New Roman"/>
          <w:sz w:val="24"/>
          <w:szCs w:val="24"/>
        </w:rPr>
      </w:pPr>
    </w:p>
    <w:p w14:paraId="6F26A513" w14:textId="77777777" w:rsidR="00CE566E" w:rsidRDefault="00CE566E" w:rsidP="00A3323A">
      <w:pPr>
        <w:spacing w:after="0"/>
        <w:rPr>
          <w:rFonts w:ascii="Times New Roman" w:hAnsi="Times New Roman" w:cs="Times New Roman"/>
          <w:sz w:val="24"/>
          <w:szCs w:val="24"/>
        </w:rPr>
      </w:pPr>
    </w:p>
    <w:p w14:paraId="3897C875" w14:textId="77777777" w:rsidR="00CE566E" w:rsidRDefault="00CE566E" w:rsidP="00A3323A">
      <w:pPr>
        <w:spacing w:after="0"/>
        <w:rPr>
          <w:rFonts w:ascii="Times New Roman" w:hAnsi="Times New Roman" w:cs="Times New Roman"/>
          <w:sz w:val="24"/>
          <w:szCs w:val="24"/>
        </w:rPr>
      </w:pPr>
    </w:p>
    <w:p w14:paraId="31F20267" w14:textId="77777777" w:rsidR="00CE566E" w:rsidRDefault="00CE566E" w:rsidP="00A3323A">
      <w:pPr>
        <w:spacing w:after="0"/>
        <w:rPr>
          <w:rFonts w:ascii="Times New Roman" w:hAnsi="Times New Roman" w:cs="Times New Roman"/>
          <w:sz w:val="24"/>
          <w:szCs w:val="24"/>
        </w:rPr>
      </w:pPr>
    </w:p>
    <w:p w14:paraId="2C52F15A" w14:textId="77777777" w:rsidR="00CE566E" w:rsidRDefault="00CE566E" w:rsidP="00A3323A">
      <w:pPr>
        <w:spacing w:after="0"/>
        <w:rPr>
          <w:rFonts w:ascii="Times New Roman" w:hAnsi="Times New Roman" w:cs="Times New Roman"/>
          <w:sz w:val="24"/>
          <w:szCs w:val="24"/>
        </w:rPr>
      </w:pPr>
    </w:p>
    <w:p w14:paraId="0501CB90" w14:textId="77777777" w:rsidR="00CE566E" w:rsidRDefault="00CE566E" w:rsidP="00A3323A">
      <w:pPr>
        <w:spacing w:after="0"/>
        <w:rPr>
          <w:rFonts w:ascii="Times New Roman" w:hAnsi="Times New Roman" w:cs="Times New Roman"/>
          <w:sz w:val="24"/>
          <w:szCs w:val="24"/>
        </w:rPr>
      </w:pPr>
    </w:p>
    <w:p w14:paraId="30EAF9D4" w14:textId="77777777" w:rsidR="00CE566E" w:rsidRPr="00766EF1" w:rsidRDefault="00CE566E" w:rsidP="00A3323A">
      <w:pPr>
        <w:spacing w:after="0"/>
        <w:rPr>
          <w:rFonts w:ascii="Times New Roman" w:hAnsi="Times New Roman" w:cs="Times New Roman"/>
          <w:sz w:val="24"/>
          <w:szCs w:val="24"/>
        </w:rPr>
      </w:pPr>
    </w:p>
    <w:p w14:paraId="22682AA0" w14:textId="77777777" w:rsidR="00A3323A" w:rsidRPr="00766EF1" w:rsidRDefault="00A3323A" w:rsidP="00A3323A">
      <w:pPr>
        <w:tabs>
          <w:tab w:val="left" w:pos="2355"/>
        </w:tabs>
        <w:spacing w:after="0"/>
        <w:rPr>
          <w:rFonts w:ascii="Times New Roman" w:hAnsi="Times New Roman" w:cs="Times New Roman"/>
          <w:b/>
          <w:sz w:val="24"/>
          <w:szCs w:val="24"/>
        </w:rPr>
      </w:pPr>
    </w:p>
    <w:p w14:paraId="477EEB7E" w14:textId="7DC2AB7A" w:rsidR="00086364" w:rsidRDefault="00B10C73" w:rsidP="00A3323A">
      <w:pPr>
        <w:pStyle w:val="Heading1"/>
        <w:spacing w:after="240"/>
        <w:rPr>
          <w:rFonts w:ascii="Times New Roman" w:hAnsi="Times New Roman" w:cs="Times New Roman"/>
          <w:color w:val="auto"/>
          <w:sz w:val="24"/>
          <w:szCs w:val="24"/>
        </w:rPr>
      </w:pPr>
      <w:bookmarkStart w:id="4" w:name="_Toc23266815"/>
      <w:r>
        <w:rPr>
          <w:rFonts w:ascii="Times New Roman" w:hAnsi="Times New Roman" w:cs="Times New Roman"/>
          <w:noProof/>
          <w:color w:val="auto"/>
          <w:sz w:val="24"/>
          <w:szCs w:val="24"/>
        </w:rPr>
        <mc:AlternateContent>
          <mc:Choice Requires="wps">
            <w:drawing>
              <wp:anchor distT="0" distB="0" distL="114300" distR="114300" simplePos="0" relativeHeight="251662848" behindDoc="0" locked="0" layoutInCell="1" allowOverlap="1" wp14:anchorId="351EE464" wp14:editId="1642D64B">
                <wp:simplePos x="0" y="0"/>
                <wp:positionH relativeFrom="margin">
                  <wp:align>left</wp:align>
                </wp:positionH>
                <wp:positionV relativeFrom="paragraph">
                  <wp:posOffset>-295275</wp:posOffset>
                </wp:positionV>
                <wp:extent cx="6600825" cy="9124950"/>
                <wp:effectExtent l="0" t="0" r="28575" b="19050"/>
                <wp:wrapNone/>
                <wp:docPr id="4" name="Rounded Rectangle 4"/>
                <wp:cNvGraphicFramePr/>
                <a:graphic xmlns:a="http://schemas.openxmlformats.org/drawingml/2006/main">
                  <a:graphicData uri="http://schemas.microsoft.com/office/word/2010/wordprocessingShape">
                    <wps:wsp>
                      <wps:cNvSpPr/>
                      <wps:spPr>
                        <a:xfrm>
                          <a:off x="0" y="0"/>
                          <a:ext cx="6600825" cy="91249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11F9D4A7" w14:textId="77777777" w:rsidR="003D1389" w:rsidRPr="00766EF1" w:rsidRDefault="003D1389" w:rsidP="00B10C73">
                            <w:pPr>
                              <w:shd w:val="clear" w:color="auto" w:fill="DBE5F1" w:themeFill="accent1" w:themeFillTint="33"/>
                              <w:spacing w:line="360" w:lineRule="auto"/>
                              <w:jc w:val="center"/>
                              <w:rPr>
                                <w:rFonts w:ascii="Times New Roman" w:hAnsi="Times New Roman" w:cs="Times New Roman"/>
                                <w:b/>
                                <w:sz w:val="24"/>
                                <w:szCs w:val="24"/>
                              </w:rPr>
                            </w:pPr>
                            <w:r w:rsidRPr="00766EF1">
                              <w:rPr>
                                <w:rFonts w:ascii="Times New Roman" w:hAnsi="Times New Roman" w:cs="Times New Roman"/>
                                <w:b/>
                                <w:sz w:val="24"/>
                                <w:szCs w:val="24"/>
                              </w:rPr>
                              <w:t>Legal Basis for Preparation of the County Budget Review and Outlook Paper</w:t>
                            </w:r>
                          </w:p>
                          <w:p w14:paraId="385FBA1A"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The Budget Review and Outlook Paper (CBROP) is prepared in accordance with Section 118 of the Public Finance Management (PFM) Act 2012. The law stipulates that:</w:t>
                            </w:r>
                          </w:p>
                          <w:p w14:paraId="4B733877"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1) A county Treasury shall;</w:t>
                            </w:r>
                          </w:p>
                          <w:p w14:paraId="1E4A020D"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a. Prepare a CBROP in respect of the County for each year; and</w:t>
                            </w:r>
                          </w:p>
                          <w:p w14:paraId="183D77E1"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b. Submit the paper to the County Executive Committee (CEC) by 30th September of that year.</w:t>
                            </w:r>
                          </w:p>
                          <w:p w14:paraId="092CAD56"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2) In preparing its CBROP, the County Treasury shall specify;</w:t>
                            </w:r>
                          </w:p>
                          <w:p w14:paraId="1202715F"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a. The details of the actual fiscal performance in the previous year compared to the budget appropriation for that year</w:t>
                            </w:r>
                          </w:p>
                          <w:p w14:paraId="02C3F4AD"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b. The updated economic and financial forecasts with sufficient information to show changes from the forecasts in the most recent County Fiscal Strategy Paper (CFSP)</w:t>
                            </w:r>
                          </w:p>
                          <w:p w14:paraId="328E35F0"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c. Information on:</w:t>
                            </w:r>
                          </w:p>
                          <w:p w14:paraId="14B80EA9" w14:textId="77777777" w:rsidR="003D1389" w:rsidRPr="00766EF1" w:rsidRDefault="003D1389" w:rsidP="00B10C73">
                            <w:pPr>
                              <w:pStyle w:val="ListParagraph"/>
                              <w:numPr>
                                <w:ilvl w:val="0"/>
                                <w:numId w:val="2"/>
                              </w:numPr>
                              <w:shd w:val="clear" w:color="auto" w:fill="DBE5F1" w:themeFill="accent1" w:themeFillTint="33"/>
                              <w:spacing w:line="360" w:lineRule="auto"/>
                              <w:ind w:left="360"/>
                              <w:rPr>
                                <w:rFonts w:ascii="Times New Roman" w:hAnsi="Times New Roman" w:cs="Times New Roman"/>
                                <w:sz w:val="24"/>
                                <w:szCs w:val="24"/>
                              </w:rPr>
                            </w:pPr>
                            <w:r w:rsidRPr="00766EF1">
                              <w:rPr>
                                <w:rFonts w:ascii="Times New Roman" w:hAnsi="Times New Roman" w:cs="Times New Roman"/>
                                <w:sz w:val="24"/>
                                <w:szCs w:val="24"/>
                              </w:rPr>
                              <w:t>Any changes in the forecasts compared with the CFSP; or</w:t>
                            </w:r>
                          </w:p>
                          <w:p w14:paraId="74172509" w14:textId="77777777" w:rsidR="003D1389" w:rsidRPr="00766EF1" w:rsidRDefault="003D1389" w:rsidP="00B10C73">
                            <w:pPr>
                              <w:pStyle w:val="ListParagraph"/>
                              <w:numPr>
                                <w:ilvl w:val="0"/>
                                <w:numId w:val="2"/>
                              </w:numPr>
                              <w:shd w:val="clear" w:color="auto" w:fill="DBE5F1" w:themeFill="accent1" w:themeFillTint="33"/>
                              <w:spacing w:line="360" w:lineRule="auto"/>
                              <w:ind w:left="360"/>
                              <w:rPr>
                                <w:rFonts w:ascii="Times New Roman" w:hAnsi="Times New Roman" w:cs="Times New Roman"/>
                                <w:sz w:val="24"/>
                                <w:szCs w:val="24"/>
                              </w:rPr>
                            </w:pPr>
                            <w:r w:rsidRPr="00766EF1">
                              <w:rPr>
                                <w:rFonts w:ascii="Times New Roman" w:hAnsi="Times New Roman" w:cs="Times New Roman"/>
                                <w:sz w:val="24"/>
                                <w:szCs w:val="24"/>
                              </w:rPr>
                              <w:t>How actual financial performance for the previous financial year may have affected compliance with the fiscal responsibility principles, or financial objectives in the CFSP for that financial year; and</w:t>
                            </w:r>
                          </w:p>
                          <w:p w14:paraId="36F4BA97"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d. Reasons for any deviation from the financial objectives in the CFSP together with proposals to address the deviation and the time estimated for doing so.</w:t>
                            </w:r>
                          </w:p>
                          <w:p w14:paraId="65A6F11E"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3) The CEC shall consider the CBROP with a view to approving it, with or without amendments, within fourteen days after its submission.</w:t>
                            </w:r>
                          </w:p>
                          <w:p w14:paraId="507D09ED"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4) Not later than seven days after the CBROP is approved by the CEC, the County Treasury shall:</w:t>
                            </w:r>
                          </w:p>
                          <w:p w14:paraId="67F2B6DE"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a. Arrange for the paper to be laid before the County Assembly; and</w:t>
                            </w:r>
                          </w:p>
                          <w:p w14:paraId="655E4075"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b. As soon as practicable after having done so, publish and publicize the paper.</w:t>
                            </w:r>
                          </w:p>
                          <w:p w14:paraId="1F2C443C" w14:textId="77777777" w:rsidR="003D1389" w:rsidRDefault="003D1389" w:rsidP="00B10C7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51EE464" id="Rounded Rectangle 4" o:spid="_x0000_s1027" style="position:absolute;margin-left:0;margin-top:-23.25pt;width:519.75pt;height:718.5pt;z-index:2516628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" fillcolor="white [3201]" strokecolor="#f79646 [3209]" strokeweight="2pt">
                <v:textbox>
                  <w:txbxContent>
                    <w:p w14:paraId="11F9D4A7" w14:textId="77777777" w:rsidR="003D1389" w:rsidRPr="00766EF1" w:rsidRDefault="003D1389" w:rsidP="00B10C73">
                      <w:pPr>
                        <w:shd w:val="clear" w:color="auto" w:fill="DBE5F1" w:themeFill="accent1" w:themeFillTint="33"/>
                        <w:spacing w:line="360" w:lineRule="auto"/>
                        <w:jc w:val="center"/>
                        <w:rPr>
                          <w:rFonts w:ascii="Times New Roman" w:hAnsi="Times New Roman" w:cs="Times New Roman"/>
                          <w:b/>
                          <w:sz w:val="24"/>
                          <w:szCs w:val="24"/>
                        </w:rPr>
                      </w:pPr>
                      <w:r w:rsidRPr="00766EF1">
                        <w:rPr>
                          <w:rFonts w:ascii="Times New Roman" w:hAnsi="Times New Roman" w:cs="Times New Roman"/>
                          <w:b/>
                          <w:sz w:val="24"/>
                          <w:szCs w:val="24"/>
                        </w:rPr>
                        <w:t>Legal Basis for Preparation of the County Budget Review and Outlook Paper</w:t>
                      </w:r>
                    </w:p>
                    <w:p w14:paraId="385FBA1A"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The Budget Review and Outlook Paper (CBROP) is prepared in accordance with Section 118 of the Public Finance Management (PFM) Act 2012. The law stipulates that:</w:t>
                      </w:r>
                    </w:p>
                    <w:p w14:paraId="4B733877"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1) A county Treasury shall;</w:t>
                      </w:r>
                    </w:p>
                    <w:p w14:paraId="1E4A020D"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a. Prepare a CBROP in respect of the County for each year; and</w:t>
                      </w:r>
                    </w:p>
                    <w:p w14:paraId="183D77E1"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b. Submit the paper to the County Executive Committee (CEC) by 30th September of that year.</w:t>
                      </w:r>
                    </w:p>
                    <w:p w14:paraId="092CAD56"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2) In preparing its CBROP, the County Treasury shall specify;</w:t>
                      </w:r>
                    </w:p>
                    <w:p w14:paraId="1202715F"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a. The details of the actual fiscal performance in the previous year compared to the budget appropriation for that year</w:t>
                      </w:r>
                    </w:p>
                    <w:p w14:paraId="02C3F4AD"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b. The updated economic and financial forecasts with sufficient information to show changes from the forecasts in the most recent County Fiscal Strategy Paper (CFSP)</w:t>
                      </w:r>
                    </w:p>
                    <w:p w14:paraId="328E35F0"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c. Information on:</w:t>
                      </w:r>
                    </w:p>
                    <w:p w14:paraId="14B80EA9" w14:textId="77777777" w:rsidR="003D1389" w:rsidRPr="00766EF1" w:rsidRDefault="003D1389" w:rsidP="00B10C73">
                      <w:pPr>
                        <w:pStyle w:val="ListParagraph"/>
                        <w:numPr>
                          <w:ilvl w:val="0"/>
                          <w:numId w:val="2"/>
                        </w:numPr>
                        <w:shd w:val="clear" w:color="auto" w:fill="DBE5F1" w:themeFill="accent1" w:themeFillTint="33"/>
                        <w:spacing w:line="360" w:lineRule="auto"/>
                        <w:ind w:left="360"/>
                        <w:rPr>
                          <w:rFonts w:ascii="Times New Roman" w:hAnsi="Times New Roman" w:cs="Times New Roman"/>
                          <w:sz w:val="24"/>
                          <w:szCs w:val="24"/>
                        </w:rPr>
                      </w:pPr>
                      <w:r w:rsidRPr="00766EF1">
                        <w:rPr>
                          <w:rFonts w:ascii="Times New Roman" w:hAnsi="Times New Roman" w:cs="Times New Roman"/>
                          <w:sz w:val="24"/>
                          <w:szCs w:val="24"/>
                        </w:rPr>
                        <w:t>Any changes in the forecasts compared with the CFSP; or</w:t>
                      </w:r>
                    </w:p>
                    <w:p w14:paraId="74172509" w14:textId="77777777" w:rsidR="003D1389" w:rsidRPr="00766EF1" w:rsidRDefault="003D1389" w:rsidP="00B10C73">
                      <w:pPr>
                        <w:pStyle w:val="ListParagraph"/>
                        <w:numPr>
                          <w:ilvl w:val="0"/>
                          <w:numId w:val="2"/>
                        </w:numPr>
                        <w:shd w:val="clear" w:color="auto" w:fill="DBE5F1" w:themeFill="accent1" w:themeFillTint="33"/>
                        <w:spacing w:line="360" w:lineRule="auto"/>
                        <w:ind w:left="360"/>
                        <w:rPr>
                          <w:rFonts w:ascii="Times New Roman" w:hAnsi="Times New Roman" w:cs="Times New Roman"/>
                          <w:sz w:val="24"/>
                          <w:szCs w:val="24"/>
                        </w:rPr>
                      </w:pPr>
                      <w:r w:rsidRPr="00766EF1">
                        <w:rPr>
                          <w:rFonts w:ascii="Times New Roman" w:hAnsi="Times New Roman" w:cs="Times New Roman"/>
                          <w:sz w:val="24"/>
                          <w:szCs w:val="24"/>
                        </w:rPr>
                        <w:t>How actual financial performance for the previous financial year may have affected compliance with the fiscal responsibility principles, or financial objectives in the CFSP for that financial year; and</w:t>
                      </w:r>
                    </w:p>
                    <w:p w14:paraId="36F4BA97"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d. Reasons for any deviation from the financial objectives in the CFSP together with proposals to address the deviation and the time estimated for doing so.</w:t>
                      </w:r>
                    </w:p>
                    <w:p w14:paraId="65A6F11E"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3) The CEC shall consider the CBROP with a view to approving it, with or without amendments, within fourteen days after its submission.</w:t>
                      </w:r>
                    </w:p>
                    <w:p w14:paraId="507D09ED"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4) Not later than seven days after the CBROP is approved by the CEC, the County Treasury shall:</w:t>
                      </w:r>
                    </w:p>
                    <w:p w14:paraId="67F2B6DE"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a. Arrange for the paper to be laid before the County Assembly; and</w:t>
                      </w:r>
                    </w:p>
                    <w:p w14:paraId="655E4075" w14:textId="77777777" w:rsidR="003D1389" w:rsidRPr="00766EF1" w:rsidRDefault="003D1389" w:rsidP="00B10C73">
                      <w:pPr>
                        <w:shd w:val="clear" w:color="auto" w:fill="DBE5F1" w:themeFill="accent1" w:themeFillTint="33"/>
                        <w:spacing w:line="360" w:lineRule="auto"/>
                        <w:rPr>
                          <w:rFonts w:ascii="Times New Roman" w:hAnsi="Times New Roman" w:cs="Times New Roman"/>
                          <w:sz w:val="24"/>
                          <w:szCs w:val="24"/>
                        </w:rPr>
                      </w:pPr>
                      <w:r w:rsidRPr="00766EF1">
                        <w:rPr>
                          <w:rFonts w:ascii="Times New Roman" w:hAnsi="Times New Roman" w:cs="Times New Roman"/>
                          <w:sz w:val="24"/>
                          <w:szCs w:val="24"/>
                        </w:rPr>
                        <w:t>b. As soon as practicable after having done so, publish and publicize the paper.</w:t>
                      </w:r>
                    </w:p>
                    <w:p w14:paraId="1F2C443C" w14:textId="77777777" w:rsidR="003D1389" w:rsidRDefault="003D1389" w:rsidP="00B10C73">
                      <w:pPr>
                        <w:jc w:val="center"/>
                      </w:pPr>
                    </w:p>
                  </w:txbxContent>
                </v:textbox>
                <w10:wrap anchorx="margin"/>
              </v:roundrect>
            </w:pict>
          </mc:Fallback>
        </mc:AlternateContent>
      </w:r>
      <w:bookmarkEnd w:id="4"/>
      <w:r w:rsidR="00B85AF5" w:rsidRPr="00766EF1">
        <w:rPr>
          <w:rFonts w:ascii="Times New Roman" w:hAnsi="Times New Roman" w:cs="Times New Roman"/>
          <w:color w:val="auto"/>
          <w:sz w:val="24"/>
          <w:szCs w:val="24"/>
        </w:rPr>
        <w:t xml:space="preserve"> </w:t>
      </w:r>
    </w:p>
    <w:p w14:paraId="288BB39A" w14:textId="77777777" w:rsidR="001A125D" w:rsidRDefault="001A125D" w:rsidP="001A125D"/>
    <w:p w14:paraId="1275E175" w14:textId="77777777" w:rsidR="001A125D" w:rsidRDefault="001A125D" w:rsidP="001A125D"/>
    <w:p w14:paraId="4F56F60F" w14:textId="77777777" w:rsidR="001A125D" w:rsidRDefault="001A125D" w:rsidP="001A125D"/>
    <w:p w14:paraId="562A6BE6" w14:textId="77777777" w:rsidR="001A125D" w:rsidRDefault="001A125D" w:rsidP="001A125D"/>
    <w:p w14:paraId="347A3737" w14:textId="77777777" w:rsidR="001A125D" w:rsidRDefault="001A125D" w:rsidP="001A125D"/>
    <w:p w14:paraId="2B32F096" w14:textId="77777777" w:rsidR="001A125D" w:rsidRDefault="001A125D" w:rsidP="001A125D"/>
    <w:p w14:paraId="5C446310" w14:textId="77777777" w:rsidR="001A125D" w:rsidRDefault="001A125D" w:rsidP="001A125D"/>
    <w:p w14:paraId="46993BF9" w14:textId="77777777" w:rsidR="001A125D" w:rsidRDefault="001A125D" w:rsidP="001A125D"/>
    <w:p w14:paraId="7F9E8D27" w14:textId="77777777" w:rsidR="001A125D" w:rsidRDefault="001A125D" w:rsidP="001A125D"/>
    <w:p w14:paraId="009A1F3C" w14:textId="77777777" w:rsidR="001A125D" w:rsidRDefault="001A125D" w:rsidP="001A125D"/>
    <w:p w14:paraId="4FA4F898" w14:textId="77777777" w:rsidR="001A125D" w:rsidRDefault="001A125D" w:rsidP="001A125D"/>
    <w:p w14:paraId="06E1C13B" w14:textId="77777777" w:rsidR="001A125D" w:rsidRDefault="001A125D" w:rsidP="001A125D"/>
    <w:p w14:paraId="1DBE9807" w14:textId="77777777" w:rsidR="001A125D" w:rsidRDefault="001A125D" w:rsidP="001A125D"/>
    <w:p w14:paraId="33DB02BC" w14:textId="77777777" w:rsidR="001A125D" w:rsidRDefault="001A125D" w:rsidP="001A125D"/>
    <w:p w14:paraId="7404B6FE" w14:textId="77777777" w:rsidR="001A125D" w:rsidRDefault="001A125D" w:rsidP="001A125D"/>
    <w:p w14:paraId="73ED2029" w14:textId="77777777" w:rsidR="001A125D" w:rsidRDefault="001A125D" w:rsidP="001A125D"/>
    <w:p w14:paraId="6AF7C8B1" w14:textId="77777777" w:rsidR="001A125D" w:rsidRDefault="001A125D" w:rsidP="001A125D"/>
    <w:p w14:paraId="3EDB1B9F" w14:textId="77777777" w:rsidR="001A125D" w:rsidRDefault="001A125D" w:rsidP="001A125D"/>
    <w:p w14:paraId="33AD0342" w14:textId="77777777" w:rsidR="001A125D" w:rsidRDefault="001A125D" w:rsidP="001A125D"/>
    <w:p w14:paraId="0F62D93E" w14:textId="77777777" w:rsidR="001A125D" w:rsidRDefault="001A125D" w:rsidP="001A125D"/>
    <w:p w14:paraId="5E34CB78" w14:textId="77777777" w:rsidR="001A125D" w:rsidRDefault="001A125D" w:rsidP="001A125D"/>
    <w:p w14:paraId="2A6E95AC" w14:textId="77777777" w:rsidR="001A125D" w:rsidRDefault="001A125D" w:rsidP="001A125D"/>
    <w:p w14:paraId="6F70A5D2" w14:textId="77777777" w:rsidR="001A125D" w:rsidRDefault="001A125D" w:rsidP="001A125D"/>
    <w:p w14:paraId="673991CB" w14:textId="77777777" w:rsidR="00803726" w:rsidRDefault="00803726" w:rsidP="001A125D"/>
    <w:p w14:paraId="7CCA6A12" w14:textId="77777777" w:rsidR="008002B3" w:rsidRDefault="008002B3" w:rsidP="001A125D"/>
    <w:p w14:paraId="5259F0BF" w14:textId="77777777" w:rsidR="00F25CC1" w:rsidRDefault="00F25CC1" w:rsidP="001A125D"/>
    <w:p w14:paraId="4F7AAF97" w14:textId="319984B2" w:rsidR="00836D2B" w:rsidRPr="00836D2B" w:rsidRDefault="00836D2B" w:rsidP="00836D2B">
      <w:pPr>
        <w:spacing w:line="240" w:lineRule="auto"/>
        <w:ind w:firstLine="720"/>
        <w:rPr>
          <w:rFonts w:ascii="Times New Roman" w:hAnsi="Times New Roman" w:cs="Times New Roman"/>
          <w:u w:val="single"/>
          <w:lang w:val="en-GB"/>
        </w:rPr>
      </w:pPr>
      <w:r w:rsidRPr="00836D2B">
        <w:rPr>
          <w:rFonts w:ascii="Times New Roman" w:hAnsi="Times New Roman" w:cs="Times New Roman"/>
          <w:noProof/>
        </w:rPr>
        <mc:AlternateContent>
          <mc:Choice Requires="wpg">
            <w:drawing>
              <wp:anchor distT="0" distB="0" distL="114300" distR="114300" simplePos="0" relativeHeight="251691008" behindDoc="1" locked="0" layoutInCell="1" allowOverlap="1" wp14:anchorId="67D9DDE4" wp14:editId="40011F0E">
                <wp:simplePos x="0" y="0"/>
                <wp:positionH relativeFrom="column">
                  <wp:posOffset>-356507</wp:posOffset>
                </wp:positionH>
                <wp:positionV relativeFrom="paragraph">
                  <wp:posOffset>-206829</wp:posOffset>
                </wp:positionV>
                <wp:extent cx="6781709" cy="8316414"/>
                <wp:effectExtent l="0" t="0" r="635" b="8890"/>
                <wp:wrapNone/>
                <wp:docPr id="9" name="Group 54900"/>
                <wp:cNvGraphicFramePr/>
                <a:graphic xmlns:a="http://schemas.openxmlformats.org/drawingml/2006/main">
                  <a:graphicData uri="http://schemas.microsoft.com/office/word/2010/wordprocessingGroup">
                    <wpg:wgp>
                      <wpg:cNvGrpSpPr/>
                      <wpg:grpSpPr>
                        <a:xfrm>
                          <a:off x="0" y="0"/>
                          <a:ext cx="6781709" cy="8316414"/>
                          <a:chOff x="-135308" y="-132531"/>
                          <a:chExt cx="6484314" cy="8437531"/>
                        </a:xfrm>
                      </wpg:grpSpPr>
                      <wps:wsp>
                        <wps:cNvPr id="10" name="Shape 599"/>
                        <wps:cNvSpPr/>
                        <wps:spPr>
                          <a:xfrm>
                            <a:off x="-135308" y="-132531"/>
                            <a:ext cx="6484314" cy="8437531"/>
                          </a:xfrm>
                          <a:custGeom>
                            <a:avLst/>
                            <a:gdLst>
                              <a:gd name="f0" fmla="val w"/>
                              <a:gd name="f1" fmla="val h"/>
                              <a:gd name="f2" fmla="val 0"/>
                              <a:gd name="f3" fmla="val 6315075"/>
                              <a:gd name="f4" fmla="val 8248650"/>
                              <a:gd name="f5" fmla="val 1052576"/>
                              <a:gd name="f6" fmla="val 5262499"/>
                              <a:gd name="f7" fmla="val 5843778"/>
                              <a:gd name="f8" fmla="val 471170"/>
                              <a:gd name="f9" fmla="val 7196074"/>
                              <a:gd name="f10" fmla="val 7777353"/>
                              <a:gd name="f11" fmla="val 471234"/>
                              <a:gd name="f12" fmla="*/ f0 1 6315075"/>
                              <a:gd name="f13" fmla="*/ f1 1 8248650"/>
                              <a:gd name="f14" fmla="+- f4 0 f2"/>
                              <a:gd name="f15" fmla="+- f3 0 f2"/>
                              <a:gd name="f16" fmla="*/ f15 1 6315075"/>
                              <a:gd name="f17" fmla="*/ f14 1 8248650"/>
                              <a:gd name="f18" fmla="*/ 0 1 f16"/>
                              <a:gd name="f19" fmla="*/ 6315075 1 f16"/>
                              <a:gd name="f20" fmla="*/ 0 1 f17"/>
                              <a:gd name="f21" fmla="*/ 8248650 1 f17"/>
                              <a:gd name="f22" fmla="*/ f18 f12 1"/>
                              <a:gd name="f23" fmla="*/ f19 f12 1"/>
                              <a:gd name="f24" fmla="*/ f21 f13 1"/>
                              <a:gd name="f25" fmla="*/ f20 f13 1"/>
                            </a:gdLst>
                            <a:ahLst/>
                            <a:cxnLst>
                              <a:cxn ang="3cd4">
                                <a:pos x="hc" y="t"/>
                              </a:cxn>
                              <a:cxn ang="0">
                                <a:pos x="r" y="vc"/>
                              </a:cxn>
                              <a:cxn ang="cd4">
                                <a:pos x="hc" y="b"/>
                              </a:cxn>
                              <a:cxn ang="cd2">
                                <a:pos x="l" y="vc"/>
                              </a:cxn>
                            </a:cxnLst>
                            <a:rect l="f22" t="f25" r="f23" b="f24"/>
                            <a:pathLst>
                              <a:path w="6315075" h="8248650">
                                <a:moveTo>
                                  <a:pt x="f5" y="f2"/>
                                </a:moveTo>
                                <a:lnTo>
                                  <a:pt x="f6" y="f2"/>
                                </a:lnTo>
                                <a:cubicBezTo>
                                  <a:pt x="f7" y="f2"/>
                                  <a:pt x="f3" y="f8"/>
                                  <a:pt x="f3" y="f5"/>
                                </a:cubicBezTo>
                                <a:lnTo>
                                  <a:pt x="f3" y="f9"/>
                                </a:lnTo>
                                <a:cubicBezTo>
                                  <a:pt x="f3" y="f10"/>
                                  <a:pt x="f7" y="f4"/>
                                  <a:pt x="f6" y="f4"/>
                                </a:cubicBezTo>
                                <a:lnTo>
                                  <a:pt x="f5" y="f4"/>
                                </a:lnTo>
                                <a:cubicBezTo>
                                  <a:pt x="f11" y="f4"/>
                                  <a:pt x="f2" y="f10"/>
                                  <a:pt x="f2" y="f9"/>
                                </a:cubicBezTo>
                                <a:lnTo>
                                  <a:pt x="f2" y="f5"/>
                                </a:lnTo>
                                <a:cubicBezTo>
                                  <a:pt x="f2" y="f8"/>
                                  <a:pt x="f11" y="f2"/>
                                  <a:pt x="f5" y="f2"/>
                                </a:cubicBezTo>
                                <a:close/>
                              </a:path>
                            </a:pathLst>
                          </a:custGeom>
                          <a:solidFill>
                            <a:srgbClr val="D8D8D8"/>
                          </a:solidFill>
                          <a:ln>
                            <a:noFill/>
                            <a:prstDash val="solid"/>
                          </a:ln>
                        </wps:spPr>
                        <wps:bodyPr lIns="0" tIns="0" rIns="0" bIns="0"/>
                      </wps:wsp>
                      <wps:wsp>
                        <wps:cNvPr id="11" name="Shape 600"/>
                        <wps:cNvSpPr/>
                        <wps:spPr>
                          <a:xfrm>
                            <a:off x="0" y="0"/>
                            <a:ext cx="6315075" cy="8248646"/>
                          </a:xfrm>
                          <a:custGeom>
                            <a:avLst/>
                            <a:gdLst>
                              <a:gd name="f0" fmla="val w"/>
                              <a:gd name="f1" fmla="val h"/>
                              <a:gd name="f2" fmla="val 0"/>
                              <a:gd name="f3" fmla="val 6315075"/>
                              <a:gd name="f4" fmla="val 8248650"/>
                              <a:gd name="f5" fmla="val 1052576"/>
                              <a:gd name="f6" fmla="val 471170"/>
                              <a:gd name="f7" fmla="val 471234"/>
                              <a:gd name="f8" fmla="val 5262499"/>
                              <a:gd name="f9" fmla="val 5843778"/>
                              <a:gd name="f10" fmla="val 7196074"/>
                              <a:gd name="f11" fmla="val 7777353"/>
                              <a:gd name="f12" fmla="*/ f0 1 6315075"/>
                              <a:gd name="f13" fmla="*/ f1 1 8248650"/>
                              <a:gd name="f14" fmla="+- f4 0 f2"/>
                              <a:gd name="f15" fmla="+- f3 0 f2"/>
                              <a:gd name="f16" fmla="*/ f15 1 6315075"/>
                              <a:gd name="f17" fmla="*/ f14 1 8248650"/>
                              <a:gd name="f18" fmla="*/ 0 1 f16"/>
                              <a:gd name="f19" fmla="*/ 6315075 1 f16"/>
                              <a:gd name="f20" fmla="*/ 0 1 f17"/>
                              <a:gd name="f21" fmla="*/ 8248650 1 f17"/>
                              <a:gd name="f22" fmla="*/ f18 f12 1"/>
                              <a:gd name="f23" fmla="*/ f19 f12 1"/>
                              <a:gd name="f24" fmla="*/ f21 f13 1"/>
                              <a:gd name="f25" fmla="*/ f20 f13 1"/>
                            </a:gdLst>
                            <a:ahLst/>
                            <a:cxnLst>
                              <a:cxn ang="3cd4">
                                <a:pos x="hc" y="t"/>
                              </a:cxn>
                              <a:cxn ang="0">
                                <a:pos x="r" y="vc"/>
                              </a:cxn>
                              <a:cxn ang="cd4">
                                <a:pos x="hc" y="b"/>
                              </a:cxn>
                              <a:cxn ang="cd2">
                                <a:pos x="l" y="vc"/>
                              </a:cxn>
                            </a:cxnLst>
                            <a:rect l="f22" t="f25" r="f23" b="f24"/>
                            <a:pathLst>
                              <a:path w="6315075" h="8248650">
                                <a:moveTo>
                                  <a:pt x="f2" y="f5"/>
                                </a:moveTo>
                                <a:cubicBezTo>
                                  <a:pt x="f2" y="f6"/>
                                  <a:pt x="f7" y="f2"/>
                                  <a:pt x="f5" y="f2"/>
                                </a:cubicBezTo>
                                <a:lnTo>
                                  <a:pt x="f8" y="f2"/>
                                </a:lnTo>
                                <a:cubicBezTo>
                                  <a:pt x="f9" y="f2"/>
                                  <a:pt x="f3" y="f6"/>
                                  <a:pt x="f3" y="f5"/>
                                </a:cubicBezTo>
                                <a:lnTo>
                                  <a:pt x="f3" y="f10"/>
                                </a:lnTo>
                                <a:cubicBezTo>
                                  <a:pt x="f3" y="f11"/>
                                  <a:pt x="f9" y="f4"/>
                                  <a:pt x="f8" y="f4"/>
                                </a:cubicBezTo>
                                <a:lnTo>
                                  <a:pt x="f5" y="f4"/>
                                </a:lnTo>
                                <a:cubicBezTo>
                                  <a:pt x="f7" y="f4"/>
                                  <a:pt x="f2" y="f11"/>
                                  <a:pt x="f2" y="f10"/>
                                </a:cubicBezTo>
                                <a:close/>
                              </a:path>
                            </a:pathLst>
                          </a:custGeom>
                          <a:noFill/>
                          <a:ln w="9528">
                            <a:solidFill>
                              <a:srgbClr val="000000"/>
                            </a:solidFill>
                            <a:prstDash val="solid"/>
                            <a:round/>
                          </a:ln>
                        </wps:spPr>
                        <wps:bodyPr lIns="0" tIns="0" rIns="0" bIns="0"/>
                      </wps:wsp>
                    </wpg:wgp>
                  </a:graphicData>
                </a:graphic>
                <wp14:sizeRelH relativeFrom="margin">
                  <wp14:pctWidth>0</wp14:pctWidth>
                </wp14:sizeRelH>
                <wp14:sizeRelV relativeFrom="margin">
                  <wp14:pctHeight>0</wp14:pctHeight>
                </wp14:sizeRelV>
              </wp:anchor>
            </w:drawing>
          </mc:Choice>
          <mc:Fallback>
            <w:pict>
              <v:group w14:anchorId="725BEC31" id="Group 54900" o:spid="_x0000_s1026" style="position:absolute;margin-left:-28.05pt;margin-top:-16.3pt;width:534pt;height:654.85pt;z-index:-251625472;mso-width-relative:margin;mso-height-relative:margin" coordorigin="-1353,-1325" coordsize="64843,843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">
                <v:shape id="Shape 599" o:spid="_x0000_s1027" style="position:absolute;left:-1353;top:-1325;width:64843;height:84375;visibility:visible;mso-wrap-style:square;v-text-anchor:top" coordsize="6315075,8248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" path="m1052576,l5262499,v581279,,1052576,471170,1052576,1052576l6315075,7196074v,581279,-471297,1052576,-1052576,1052576l1052576,8248650c471234,8248650,,7777353,,7196074l,1052576c,471170,471234,,1052576,xe" fillcolor="#d8d8d8" stroked="f">
                  <v:path arrowok="t" o:connecttype="custom" o:connectlocs="3242157,0;6484314,4218766;3242157,8437531;0,4218766" o:connectangles="270,0,90,180" textboxrect="0,0,6315075,8248650"/>
                </v:shape>
                <v:shape id="Shape 600" o:spid="_x0000_s1028" style="position:absolute;width:63150;height:82486;visibility:visible;mso-wrap-style:square;v-text-anchor:top" coordsize="6315075,8248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" path="m,1052576c,471170,471234,,1052576,l5262499,v581279,,1052576,471170,1052576,1052576l6315075,7196074v,581279,-471297,1052576,-1052576,1052576l1052576,8248650c471234,8248650,,7777353,,7196074l,1052576xe" filled="f" strokeweight=".26467mm">
                  <v:path arrowok="t" o:connecttype="custom" o:connectlocs="3157538,0;6315075,4124323;3157538,8248646;0,4124323" o:connectangles="270,0,90,180" textboxrect="0,0,6315075,8248650"/>
                </v:shape>
              </v:group>
            </w:pict>
          </mc:Fallback>
        </mc:AlternateContent>
      </w:r>
      <w:r>
        <w:rPr>
          <w:rFonts w:ascii="Times New Roman" w:hAnsi="Times New Roman" w:cs="Times New Roman"/>
          <w:u w:val="single"/>
          <w:lang w:val="en-GB"/>
        </w:rPr>
        <w:t xml:space="preserve">   </w:t>
      </w:r>
      <w:r w:rsidRPr="00836D2B">
        <w:rPr>
          <w:rFonts w:ascii="Times New Roman" w:hAnsi="Times New Roman" w:cs="Times New Roman"/>
          <w:u w:val="single"/>
          <w:lang w:val="en-GB"/>
        </w:rPr>
        <w:t>Fiscal Responsibility Principles to be enforces by the County Treasury</w:t>
      </w:r>
    </w:p>
    <w:p w14:paraId="30AF1005" w14:textId="353E1FC0" w:rsidR="00836D2B" w:rsidRPr="00836D2B" w:rsidRDefault="00836D2B" w:rsidP="00836D2B">
      <w:pPr>
        <w:spacing w:line="240" w:lineRule="auto"/>
        <w:ind w:left="720"/>
        <w:rPr>
          <w:rFonts w:ascii="Times New Roman" w:hAnsi="Times New Roman" w:cs="Times New Roman"/>
          <w:lang w:val="en-GB"/>
        </w:rPr>
      </w:pPr>
      <w:r w:rsidRPr="00836D2B">
        <w:rPr>
          <w:rFonts w:ascii="Times New Roman" w:hAnsi="Times New Roman" w:cs="Times New Roman"/>
          <w:lang w:val="en-GB"/>
        </w:rPr>
        <w:t>In line with the Constitution, the Public Financial Management (PFM) Act, 2012, sets out the fiscal responsibility principles that the County Treasury is to enforce.  The PFM law (Section 107) states that:</w:t>
      </w:r>
    </w:p>
    <w:p w14:paraId="47065354" w14:textId="2B54D554" w:rsidR="00836D2B" w:rsidRPr="00836D2B" w:rsidRDefault="00836D2B" w:rsidP="00836D2B">
      <w:pPr>
        <w:spacing w:line="240" w:lineRule="auto"/>
        <w:rPr>
          <w:rFonts w:ascii="Times New Roman" w:hAnsi="Times New Roman" w:cs="Times New Roman"/>
          <w:lang w:val="en-GB"/>
        </w:rPr>
      </w:pPr>
    </w:p>
    <w:p w14:paraId="58B78A3E" w14:textId="7088C36A" w:rsidR="00836D2B" w:rsidRPr="00836D2B" w:rsidRDefault="00836D2B" w:rsidP="00836D2B">
      <w:pPr>
        <w:numPr>
          <w:ilvl w:val="0"/>
          <w:numId w:val="28"/>
        </w:numPr>
        <w:spacing w:line="240" w:lineRule="auto"/>
        <w:rPr>
          <w:rFonts w:ascii="Times New Roman" w:hAnsi="Times New Roman" w:cs="Times New Roman"/>
          <w:lang w:val="en-GB"/>
        </w:rPr>
      </w:pPr>
      <w:r w:rsidRPr="00836D2B">
        <w:rPr>
          <w:rFonts w:ascii="Times New Roman" w:hAnsi="Times New Roman" w:cs="Times New Roman"/>
          <w:lang w:val="en-GB"/>
        </w:rPr>
        <w:t>A County Treasury shall manage its public finances in accordance with the principles of fiscal responsibility set out in subsection 2, and shall not exceed the limits stated in the regulations.</w:t>
      </w:r>
    </w:p>
    <w:p w14:paraId="143F465E" w14:textId="49BDB9C9" w:rsidR="00836D2B" w:rsidRPr="00836D2B" w:rsidRDefault="00836D2B" w:rsidP="00836D2B">
      <w:pPr>
        <w:numPr>
          <w:ilvl w:val="0"/>
          <w:numId w:val="28"/>
        </w:numPr>
        <w:spacing w:line="240" w:lineRule="auto"/>
        <w:rPr>
          <w:rFonts w:ascii="Times New Roman" w:hAnsi="Times New Roman" w:cs="Times New Roman"/>
          <w:lang w:val="en-GB"/>
        </w:rPr>
      </w:pPr>
      <w:r w:rsidRPr="00836D2B">
        <w:rPr>
          <w:rFonts w:ascii="Times New Roman" w:hAnsi="Times New Roman" w:cs="Times New Roman"/>
          <w:lang w:val="en-GB"/>
        </w:rPr>
        <w:t>In managing the county government’s public finances, the County Treasury shall enforce the following fiscal responsibility principles</w:t>
      </w:r>
    </w:p>
    <w:p w14:paraId="5A7B2F75" w14:textId="0E8D2CAA" w:rsidR="00836D2B" w:rsidRPr="00836D2B" w:rsidRDefault="00836D2B" w:rsidP="00836D2B">
      <w:pPr>
        <w:numPr>
          <w:ilvl w:val="1"/>
          <w:numId w:val="28"/>
        </w:numPr>
        <w:spacing w:line="240" w:lineRule="auto"/>
        <w:rPr>
          <w:rFonts w:ascii="Times New Roman" w:hAnsi="Times New Roman" w:cs="Times New Roman"/>
          <w:lang w:val="en-GB"/>
        </w:rPr>
      </w:pPr>
      <w:r w:rsidRPr="00836D2B">
        <w:rPr>
          <w:rFonts w:ascii="Times New Roman" w:hAnsi="Times New Roman" w:cs="Times New Roman"/>
          <w:lang w:val="en-GB"/>
        </w:rPr>
        <w:t>the county government’s recurrent expenditure shall not exceed the county government’s total revenue;</w:t>
      </w:r>
    </w:p>
    <w:p w14:paraId="42D874E5" w14:textId="58F724A9" w:rsidR="00836D2B" w:rsidRPr="00836D2B" w:rsidRDefault="00836D2B" w:rsidP="00836D2B">
      <w:pPr>
        <w:numPr>
          <w:ilvl w:val="1"/>
          <w:numId w:val="28"/>
        </w:numPr>
        <w:spacing w:line="240" w:lineRule="auto"/>
        <w:rPr>
          <w:rFonts w:ascii="Times New Roman" w:hAnsi="Times New Roman" w:cs="Times New Roman"/>
          <w:lang w:val="en-GB"/>
        </w:rPr>
      </w:pPr>
      <w:r w:rsidRPr="00836D2B">
        <w:rPr>
          <w:rFonts w:ascii="Times New Roman" w:hAnsi="Times New Roman" w:cs="Times New Roman"/>
          <w:lang w:val="en-GB"/>
        </w:rPr>
        <w:t>over the medium term a minimum of thirty percent of the county government’s budget shall be allocated to the development expenditure;</w:t>
      </w:r>
    </w:p>
    <w:p w14:paraId="0509436C" w14:textId="1C465C5C" w:rsidR="00836D2B" w:rsidRPr="00836D2B" w:rsidRDefault="00836D2B" w:rsidP="00836D2B">
      <w:pPr>
        <w:numPr>
          <w:ilvl w:val="1"/>
          <w:numId w:val="28"/>
        </w:numPr>
        <w:spacing w:line="240" w:lineRule="auto"/>
        <w:rPr>
          <w:rFonts w:ascii="Times New Roman" w:hAnsi="Times New Roman" w:cs="Times New Roman"/>
          <w:lang w:val="en-GB"/>
        </w:rPr>
      </w:pPr>
      <w:r w:rsidRPr="00836D2B">
        <w:rPr>
          <w:rFonts w:ascii="Times New Roman" w:hAnsi="Times New Roman" w:cs="Times New Roman"/>
          <w:lang w:val="en-GB"/>
        </w:rPr>
        <w:t>the country government’s expenditure on wages and benefits for its public officers shall not exceed a percentage of the county government’s total revenue as prescribed by the County Executive member for finance in regulations and approved by the County Assembly;</w:t>
      </w:r>
    </w:p>
    <w:p w14:paraId="4F6C2B9F" w14:textId="5251FDA7" w:rsidR="00836D2B" w:rsidRPr="00836D2B" w:rsidRDefault="00836D2B" w:rsidP="00836D2B">
      <w:pPr>
        <w:numPr>
          <w:ilvl w:val="1"/>
          <w:numId w:val="28"/>
        </w:numPr>
        <w:spacing w:line="240" w:lineRule="auto"/>
        <w:rPr>
          <w:rFonts w:ascii="Times New Roman" w:hAnsi="Times New Roman" w:cs="Times New Roman"/>
          <w:lang w:val="en-GB"/>
        </w:rPr>
      </w:pPr>
      <w:r w:rsidRPr="00836D2B">
        <w:rPr>
          <w:rFonts w:ascii="Times New Roman" w:hAnsi="Times New Roman" w:cs="Times New Roman"/>
          <w:lang w:val="en-GB"/>
        </w:rPr>
        <w:t>over the medium term, the government’s borrowings shall be used only for the purpose of financing development expenditure and not for recurrent expenditure;</w:t>
      </w:r>
    </w:p>
    <w:p w14:paraId="03D2651B" w14:textId="2E7CCD68" w:rsidR="00836D2B" w:rsidRPr="00836D2B" w:rsidRDefault="00836D2B" w:rsidP="00836D2B">
      <w:pPr>
        <w:numPr>
          <w:ilvl w:val="1"/>
          <w:numId w:val="28"/>
        </w:numPr>
        <w:spacing w:line="240" w:lineRule="auto"/>
        <w:rPr>
          <w:rFonts w:ascii="Times New Roman" w:hAnsi="Times New Roman" w:cs="Times New Roman"/>
          <w:lang w:val="en-GB"/>
        </w:rPr>
      </w:pPr>
      <w:r w:rsidRPr="00836D2B">
        <w:rPr>
          <w:rFonts w:ascii="Times New Roman" w:hAnsi="Times New Roman" w:cs="Times New Roman"/>
          <w:lang w:val="en-GB"/>
        </w:rPr>
        <w:t>the county debt shall be maintained at a sustainable level as approved by county assembly;</w:t>
      </w:r>
    </w:p>
    <w:p w14:paraId="397D7754" w14:textId="04E0CB2D" w:rsidR="00836D2B" w:rsidRPr="00836D2B" w:rsidRDefault="00836D2B" w:rsidP="00836D2B">
      <w:pPr>
        <w:numPr>
          <w:ilvl w:val="1"/>
          <w:numId w:val="28"/>
        </w:numPr>
        <w:spacing w:line="240" w:lineRule="auto"/>
        <w:rPr>
          <w:rFonts w:ascii="Times New Roman" w:hAnsi="Times New Roman" w:cs="Times New Roman"/>
          <w:lang w:val="en-GB"/>
        </w:rPr>
      </w:pPr>
      <w:r w:rsidRPr="00836D2B">
        <w:rPr>
          <w:rFonts w:ascii="Times New Roman" w:hAnsi="Times New Roman" w:cs="Times New Roman"/>
          <w:lang w:val="en-GB"/>
        </w:rPr>
        <w:t>the fiscal risks shall be managed prudently; and</w:t>
      </w:r>
    </w:p>
    <w:p w14:paraId="1D57A60A" w14:textId="3EDF4042" w:rsidR="00836D2B" w:rsidRPr="00836D2B" w:rsidRDefault="00836D2B" w:rsidP="00836D2B">
      <w:pPr>
        <w:numPr>
          <w:ilvl w:val="1"/>
          <w:numId w:val="28"/>
        </w:numPr>
        <w:spacing w:line="240" w:lineRule="auto"/>
        <w:rPr>
          <w:rFonts w:ascii="Times New Roman" w:hAnsi="Times New Roman" w:cs="Times New Roman"/>
          <w:lang w:val="en-GB"/>
        </w:rPr>
      </w:pPr>
      <w:r w:rsidRPr="00836D2B">
        <w:rPr>
          <w:rFonts w:ascii="Times New Roman" w:hAnsi="Times New Roman" w:cs="Times New Roman"/>
          <w:lang w:val="en-GB"/>
        </w:rPr>
        <w:t>a reasonable degree of predictability with respect to the level of tax rates and tax bases shall be maintained, taking into account any tax reforms that may be made in the future.</w:t>
      </w:r>
    </w:p>
    <w:p w14:paraId="46897CEA" w14:textId="15B105B0" w:rsidR="00836D2B" w:rsidRPr="00836D2B" w:rsidRDefault="00836D2B" w:rsidP="00836D2B">
      <w:pPr>
        <w:numPr>
          <w:ilvl w:val="0"/>
          <w:numId w:val="28"/>
        </w:numPr>
        <w:spacing w:line="240" w:lineRule="auto"/>
        <w:rPr>
          <w:rFonts w:ascii="Times New Roman" w:hAnsi="Times New Roman" w:cs="Times New Roman"/>
          <w:lang w:val="en-GB"/>
        </w:rPr>
      </w:pPr>
      <w:r w:rsidRPr="00836D2B">
        <w:rPr>
          <w:rFonts w:ascii="Times New Roman" w:hAnsi="Times New Roman" w:cs="Times New Roman"/>
          <w:lang w:val="en-GB"/>
        </w:rPr>
        <w:t>For the purposes of subsection (2) (d), Short term borrowing shall be restricted to management of cash flows and shall not exceed five percent of the most recent audited county government revenue.</w:t>
      </w:r>
    </w:p>
    <w:p w14:paraId="2389E817" w14:textId="4333DF05" w:rsidR="00836D2B" w:rsidRPr="00836D2B" w:rsidRDefault="00836D2B" w:rsidP="00836D2B">
      <w:pPr>
        <w:numPr>
          <w:ilvl w:val="0"/>
          <w:numId w:val="28"/>
        </w:numPr>
        <w:spacing w:line="240" w:lineRule="auto"/>
        <w:rPr>
          <w:rFonts w:ascii="Times New Roman" w:hAnsi="Times New Roman" w:cs="Times New Roman"/>
          <w:lang w:val="en-GB"/>
        </w:rPr>
      </w:pPr>
      <w:r w:rsidRPr="00836D2B">
        <w:rPr>
          <w:rFonts w:ascii="Times New Roman" w:hAnsi="Times New Roman" w:cs="Times New Roman"/>
          <w:lang w:val="en-GB"/>
        </w:rPr>
        <w:t>Every county government shall ensure that its level of debt at any particular time does not exceed a percentage of its annual revenue specified in respect of each financial year by a resolution of the county assembly.</w:t>
      </w:r>
    </w:p>
    <w:p w14:paraId="251D15CB" w14:textId="37FF917E" w:rsidR="00836D2B" w:rsidRPr="00836D2B" w:rsidRDefault="00836D2B" w:rsidP="00836D2B">
      <w:pPr>
        <w:numPr>
          <w:ilvl w:val="0"/>
          <w:numId w:val="28"/>
        </w:numPr>
        <w:spacing w:line="240" w:lineRule="auto"/>
        <w:rPr>
          <w:rFonts w:ascii="Times New Roman" w:hAnsi="Times New Roman" w:cs="Times New Roman"/>
          <w:lang w:val="en-GB"/>
        </w:rPr>
      </w:pPr>
      <w:r w:rsidRPr="00836D2B">
        <w:rPr>
          <w:rFonts w:ascii="Times New Roman" w:hAnsi="Times New Roman" w:cs="Times New Roman"/>
          <w:lang w:val="en-GB"/>
        </w:rPr>
        <w:t>The regulations may add to the list of fiscal responsibility principles set out in subsection (2).</w:t>
      </w:r>
    </w:p>
    <w:p w14:paraId="7DB92709" w14:textId="77777777" w:rsidR="00F25CC1" w:rsidRPr="00F25CC1" w:rsidRDefault="00F25CC1" w:rsidP="00F25CC1"/>
    <w:p w14:paraId="1259C043" w14:textId="77777777" w:rsidR="00F25CC1" w:rsidRPr="00F25CC1" w:rsidRDefault="00F25CC1" w:rsidP="00F25CC1"/>
    <w:p w14:paraId="19E0BBC5" w14:textId="183178A6" w:rsidR="00F25CC1" w:rsidRDefault="00F25CC1" w:rsidP="00F25CC1"/>
    <w:p w14:paraId="3CEE3586" w14:textId="7BDF56FF" w:rsidR="00F25CC1" w:rsidRDefault="00F25CC1" w:rsidP="00F25CC1">
      <w:pPr>
        <w:tabs>
          <w:tab w:val="left" w:pos="3377"/>
        </w:tabs>
      </w:pPr>
      <w:r>
        <w:tab/>
      </w:r>
    </w:p>
    <w:p w14:paraId="421962DB" w14:textId="77777777" w:rsidR="00F25CC1" w:rsidRDefault="00F25CC1" w:rsidP="00F25CC1">
      <w:pPr>
        <w:tabs>
          <w:tab w:val="left" w:pos="3377"/>
        </w:tabs>
      </w:pPr>
    </w:p>
    <w:p w14:paraId="62F24CE3" w14:textId="77777777" w:rsidR="00F25CC1" w:rsidRDefault="00F25CC1" w:rsidP="00F25CC1">
      <w:pPr>
        <w:tabs>
          <w:tab w:val="left" w:pos="3377"/>
        </w:tabs>
      </w:pPr>
    </w:p>
    <w:p w14:paraId="2D10E2F3" w14:textId="1387FD4C" w:rsidR="00F25CC1" w:rsidRPr="00F25CC1" w:rsidRDefault="00F25CC1" w:rsidP="00F25CC1">
      <w:pPr>
        <w:sectPr w:rsidR="00F25CC1" w:rsidRPr="00F25CC1" w:rsidSect="00B9180F">
          <w:pgSz w:w="11907" w:h="16839" w:code="9"/>
          <w:pgMar w:top="1440" w:right="927" w:bottom="1440" w:left="990" w:header="720" w:footer="720" w:gutter="0"/>
          <w:pgNumType w:fmt="lowerRoman" w:start="1"/>
          <w:cols w:space="720"/>
          <w:docGrid w:linePitch="360"/>
        </w:sectPr>
      </w:pPr>
    </w:p>
    <w:p w14:paraId="02A72A6C" w14:textId="4F3A337D" w:rsidR="00F1744C" w:rsidRDefault="00F1744C" w:rsidP="00A8135F">
      <w:pPr>
        <w:pStyle w:val="Heading1"/>
        <w:numPr>
          <w:ilvl w:val="0"/>
          <w:numId w:val="24"/>
        </w:numPr>
        <w:rPr>
          <w:color w:val="auto"/>
          <w:sz w:val="26"/>
          <w:szCs w:val="26"/>
        </w:rPr>
      </w:pPr>
      <w:bookmarkStart w:id="5" w:name="_Toc23266816"/>
      <w:r w:rsidRPr="008F43B5">
        <w:rPr>
          <w:color w:val="auto"/>
          <w:sz w:val="26"/>
          <w:szCs w:val="26"/>
        </w:rPr>
        <w:lastRenderedPageBreak/>
        <w:t>INTRODUCTION</w:t>
      </w:r>
      <w:bookmarkEnd w:id="5"/>
    </w:p>
    <w:p w14:paraId="5F75B690" w14:textId="77777777" w:rsidR="00F25CC1" w:rsidRPr="00F25CC1" w:rsidRDefault="00F25CC1" w:rsidP="00F25CC1"/>
    <w:p w14:paraId="43301CBC" w14:textId="7A8534D1" w:rsidR="00A3323A" w:rsidRPr="00766EF1" w:rsidRDefault="00A3323A" w:rsidP="00A3323A">
      <w:pPr>
        <w:spacing w:before="200"/>
        <w:jc w:val="both"/>
        <w:rPr>
          <w:rFonts w:ascii="Times New Roman" w:hAnsi="Times New Roman" w:cs="Times New Roman"/>
          <w:sz w:val="24"/>
          <w:szCs w:val="24"/>
        </w:rPr>
      </w:pPr>
      <w:r w:rsidRPr="00766EF1">
        <w:rPr>
          <w:rFonts w:ascii="Times New Roman" w:hAnsi="Times New Roman" w:cs="Times New Roman"/>
          <w:sz w:val="24"/>
          <w:szCs w:val="24"/>
        </w:rPr>
        <w:t xml:space="preserve">This County Budget Review and Outlook Paper (CBROP), is prepared in accordance with the Public Finance Management (PFM) Act, 2012 and its regulations. It presents a review of the budget performance for the FY </w:t>
      </w:r>
      <w:r>
        <w:rPr>
          <w:rFonts w:ascii="Times New Roman" w:hAnsi="Times New Roman" w:cs="Times New Roman"/>
          <w:sz w:val="24"/>
          <w:szCs w:val="24"/>
        </w:rPr>
        <w:t>2018/19</w:t>
      </w:r>
      <w:r w:rsidRPr="00766EF1">
        <w:rPr>
          <w:rFonts w:ascii="Times New Roman" w:hAnsi="Times New Roman" w:cs="Times New Roman"/>
          <w:sz w:val="24"/>
          <w:szCs w:val="24"/>
        </w:rPr>
        <w:t xml:space="preserve"> and how the budget adhered to the fiscal responsibility principles and financial objectives sets out in the PFM Act, 2012. It further provides updated macro-economic and financial forecasts with sufficient information to show changes from the projections outlined in the CFSP 2018 and sets out the broad fiscal parameters fo</w:t>
      </w:r>
      <w:r w:rsidR="00D15546">
        <w:rPr>
          <w:rFonts w:ascii="Times New Roman" w:hAnsi="Times New Roman" w:cs="Times New Roman"/>
          <w:sz w:val="24"/>
          <w:szCs w:val="24"/>
        </w:rPr>
        <w:t xml:space="preserve">r the FY 2019/20 budget and over </w:t>
      </w:r>
      <w:r w:rsidRPr="00766EF1">
        <w:rPr>
          <w:rFonts w:ascii="Times New Roman" w:hAnsi="Times New Roman" w:cs="Times New Roman"/>
          <w:sz w:val="24"/>
          <w:szCs w:val="24"/>
        </w:rPr>
        <w:t>medium term.</w:t>
      </w:r>
    </w:p>
    <w:p w14:paraId="27CB3356" w14:textId="301E4B14" w:rsidR="00A3323A" w:rsidRPr="00A8135F" w:rsidRDefault="00A8135F" w:rsidP="00A8135F">
      <w:pPr>
        <w:pStyle w:val="Heading2"/>
        <w:rPr>
          <w:rFonts w:ascii="Times New Roman" w:hAnsi="Times New Roman" w:cs="Times New Roman"/>
          <w:color w:val="auto"/>
          <w:sz w:val="24"/>
          <w:szCs w:val="24"/>
        </w:rPr>
      </w:pPr>
      <w:bookmarkStart w:id="6" w:name="_Toc23266817"/>
      <w:r w:rsidRPr="00A8135F">
        <w:rPr>
          <w:rFonts w:ascii="Times New Roman" w:hAnsi="Times New Roman" w:cs="Times New Roman"/>
          <w:color w:val="auto"/>
          <w:sz w:val="24"/>
          <w:szCs w:val="24"/>
        </w:rPr>
        <w:t xml:space="preserve">1.1 </w:t>
      </w:r>
      <w:r w:rsidR="00A3323A" w:rsidRPr="00A8135F">
        <w:rPr>
          <w:rFonts w:ascii="Times New Roman" w:hAnsi="Times New Roman" w:cs="Times New Roman"/>
          <w:color w:val="auto"/>
          <w:sz w:val="24"/>
          <w:szCs w:val="24"/>
        </w:rPr>
        <w:t>Objectives of CBROP</w:t>
      </w:r>
      <w:bookmarkEnd w:id="6"/>
    </w:p>
    <w:p w14:paraId="397D3851" w14:textId="63481E4D" w:rsidR="00A3323A" w:rsidRPr="00766EF1" w:rsidRDefault="00A3323A" w:rsidP="00A3323A">
      <w:pPr>
        <w:spacing w:before="200"/>
        <w:jc w:val="both"/>
        <w:rPr>
          <w:rFonts w:ascii="Times New Roman" w:hAnsi="Times New Roman" w:cs="Times New Roman"/>
          <w:sz w:val="24"/>
          <w:szCs w:val="24"/>
        </w:rPr>
      </w:pPr>
      <w:r w:rsidRPr="00766EF1">
        <w:rPr>
          <w:rFonts w:ascii="Times New Roman" w:hAnsi="Times New Roman" w:cs="Times New Roman"/>
          <w:sz w:val="24"/>
          <w:szCs w:val="24"/>
        </w:rPr>
        <w:t xml:space="preserve">The objective of the </w:t>
      </w:r>
      <w:r>
        <w:rPr>
          <w:rFonts w:ascii="Times New Roman" w:hAnsi="Times New Roman" w:cs="Times New Roman"/>
          <w:sz w:val="24"/>
          <w:szCs w:val="24"/>
        </w:rPr>
        <w:t>CBROP 2019</w:t>
      </w:r>
      <w:r w:rsidRPr="00766EF1">
        <w:rPr>
          <w:rFonts w:ascii="Times New Roman" w:hAnsi="Times New Roman" w:cs="Times New Roman"/>
          <w:sz w:val="24"/>
          <w:szCs w:val="24"/>
        </w:rPr>
        <w:t xml:space="preserve"> is to provide a review of fiscal performance for the FY </w:t>
      </w:r>
      <w:r>
        <w:rPr>
          <w:rFonts w:ascii="Times New Roman" w:hAnsi="Times New Roman" w:cs="Times New Roman"/>
          <w:sz w:val="24"/>
          <w:szCs w:val="24"/>
        </w:rPr>
        <w:t>2018/19</w:t>
      </w:r>
      <w:r w:rsidRPr="00766EF1">
        <w:rPr>
          <w:rFonts w:ascii="Times New Roman" w:hAnsi="Times New Roman" w:cs="Times New Roman"/>
          <w:sz w:val="24"/>
          <w:szCs w:val="24"/>
        </w:rPr>
        <w:t xml:space="preserve"> and how this performance impacts on the financial objectives and fiscal responsibility principles set out in the CFSP 2018. This together with updated macroeconomic developments and outlook provides a basis for revision of the current budget in the context of Supplementary Estimates and the broad fiscal parameters underpinning the FY 2019/20 budget and the medium term</w:t>
      </w:r>
      <w:r w:rsidR="00D15546">
        <w:rPr>
          <w:rFonts w:ascii="Times New Roman" w:hAnsi="Times New Roman" w:cs="Times New Roman"/>
          <w:sz w:val="24"/>
          <w:szCs w:val="24"/>
        </w:rPr>
        <w:t xml:space="preserve"> expenditure framework</w:t>
      </w:r>
      <w:r w:rsidRPr="00766EF1">
        <w:rPr>
          <w:rFonts w:ascii="Times New Roman" w:hAnsi="Times New Roman" w:cs="Times New Roman"/>
          <w:sz w:val="24"/>
          <w:szCs w:val="24"/>
        </w:rPr>
        <w:t>. Specifically the CBROP aims to:</w:t>
      </w:r>
    </w:p>
    <w:p w14:paraId="13E65F9C" w14:textId="77777777" w:rsidR="00A3323A" w:rsidRPr="00766EF1" w:rsidRDefault="00A3323A" w:rsidP="00A3323A">
      <w:pPr>
        <w:pStyle w:val="ListParagraph"/>
        <w:widowControl w:val="0"/>
        <w:numPr>
          <w:ilvl w:val="0"/>
          <w:numId w:val="9"/>
        </w:numPr>
        <w:kinsoku w:val="0"/>
        <w:overflowPunct w:val="0"/>
        <w:spacing w:after="0" w:line="413" w:lineRule="exact"/>
        <w:ind w:left="360" w:hanging="270"/>
        <w:jc w:val="both"/>
        <w:textAlignment w:val="baseline"/>
        <w:rPr>
          <w:rFonts w:ascii="Times New Roman" w:hAnsi="Times New Roman" w:cs="Times New Roman"/>
          <w:sz w:val="24"/>
          <w:szCs w:val="24"/>
        </w:rPr>
      </w:pPr>
      <w:r w:rsidRPr="00766EF1">
        <w:rPr>
          <w:rFonts w:ascii="Times New Roman" w:hAnsi="Times New Roman" w:cs="Times New Roman"/>
          <w:bCs/>
          <w:sz w:val="24"/>
          <w:szCs w:val="24"/>
        </w:rPr>
        <w:t>Updated economic and financial forecasts in relation to the changes from the forecasts in the most recent County Fiscal Strategy Paper (CFSP);</w:t>
      </w:r>
    </w:p>
    <w:p w14:paraId="07EE9188" w14:textId="77777777" w:rsidR="00A3323A" w:rsidRPr="00766EF1" w:rsidRDefault="00A3323A" w:rsidP="00A3323A">
      <w:pPr>
        <w:pStyle w:val="ListParagraph"/>
        <w:widowControl w:val="0"/>
        <w:numPr>
          <w:ilvl w:val="0"/>
          <w:numId w:val="9"/>
        </w:numPr>
        <w:kinsoku w:val="0"/>
        <w:overflowPunct w:val="0"/>
        <w:spacing w:after="0" w:line="413" w:lineRule="exact"/>
        <w:ind w:left="360" w:hanging="270"/>
        <w:jc w:val="both"/>
        <w:textAlignment w:val="baseline"/>
        <w:rPr>
          <w:rFonts w:ascii="Times New Roman" w:hAnsi="Times New Roman" w:cs="Times New Roman"/>
          <w:sz w:val="24"/>
          <w:szCs w:val="24"/>
        </w:rPr>
      </w:pPr>
      <w:r w:rsidRPr="00766EF1">
        <w:rPr>
          <w:rFonts w:ascii="Times New Roman" w:hAnsi="Times New Roman" w:cs="Times New Roman"/>
          <w:bCs/>
          <w:sz w:val="24"/>
          <w:szCs w:val="24"/>
        </w:rPr>
        <w:t>Details of the actual fiscal performance in the previous year compared to the budget appropriation for that particular year;</w:t>
      </w:r>
    </w:p>
    <w:p w14:paraId="6651C82D" w14:textId="77777777" w:rsidR="00A3323A" w:rsidRPr="00766EF1" w:rsidRDefault="00A3323A" w:rsidP="00A3323A">
      <w:pPr>
        <w:pStyle w:val="ListParagraph"/>
        <w:widowControl w:val="0"/>
        <w:numPr>
          <w:ilvl w:val="0"/>
          <w:numId w:val="9"/>
        </w:numPr>
        <w:kinsoku w:val="0"/>
        <w:overflowPunct w:val="0"/>
        <w:spacing w:after="0" w:line="413" w:lineRule="exact"/>
        <w:ind w:left="360" w:hanging="270"/>
        <w:jc w:val="both"/>
        <w:textAlignment w:val="baseline"/>
        <w:rPr>
          <w:rFonts w:ascii="Times New Roman" w:hAnsi="Times New Roman" w:cs="Times New Roman"/>
          <w:sz w:val="24"/>
          <w:szCs w:val="24"/>
        </w:rPr>
      </w:pPr>
      <w:r w:rsidRPr="00766EF1">
        <w:rPr>
          <w:rFonts w:ascii="Times New Roman" w:hAnsi="Times New Roman" w:cs="Times New Roman"/>
          <w:bCs/>
          <w:sz w:val="24"/>
          <w:szCs w:val="24"/>
        </w:rPr>
        <w:t>Any changes in the forecasts compared with the CFSP;</w:t>
      </w:r>
    </w:p>
    <w:p w14:paraId="6A7941E8" w14:textId="77777777" w:rsidR="00A3323A" w:rsidRPr="00766EF1" w:rsidRDefault="00A3323A" w:rsidP="00A3323A">
      <w:pPr>
        <w:pStyle w:val="ListParagraph"/>
        <w:widowControl w:val="0"/>
        <w:numPr>
          <w:ilvl w:val="0"/>
          <w:numId w:val="9"/>
        </w:numPr>
        <w:kinsoku w:val="0"/>
        <w:overflowPunct w:val="0"/>
        <w:spacing w:after="0" w:line="413" w:lineRule="exact"/>
        <w:ind w:left="360" w:hanging="270"/>
        <w:jc w:val="both"/>
        <w:textAlignment w:val="baseline"/>
        <w:rPr>
          <w:rFonts w:ascii="Times New Roman" w:hAnsi="Times New Roman" w:cs="Times New Roman"/>
          <w:sz w:val="24"/>
          <w:szCs w:val="24"/>
        </w:rPr>
      </w:pPr>
      <w:r w:rsidRPr="00766EF1">
        <w:rPr>
          <w:rFonts w:ascii="Times New Roman" w:hAnsi="Times New Roman" w:cs="Times New Roman"/>
          <w:bCs/>
          <w:sz w:val="24"/>
          <w:szCs w:val="24"/>
        </w:rPr>
        <w:t>Indication on how actual financial performance for the previous financial year may have affected compliance with the fiscal responsibility principles, or the financial objectives in the CFSP for that financial year; and</w:t>
      </w:r>
    </w:p>
    <w:p w14:paraId="48E26022" w14:textId="77777777" w:rsidR="00A3323A" w:rsidRPr="00766EF1" w:rsidRDefault="00A3323A" w:rsidP="00A3323A">
      <w:pPr>
        <w:pStyle w:val="ListParagraph"/>
        <w:widowControl w:val="0"/>
        <w:numPr>
          <w:ilvl w:val="0"/>
          <w:numId w:val="9"/>
        </w:numPr>
        <w:kinsoku w:val="0"/>
        <w:overflowPunct w:val="0"/>
        <w:spacing w:after="0" w:line="413" w:lineRule="exact"/>
        <w:ind w:left="360" w:hanging="270"/>
        <w:jc w:val="both"/>
        <w:textAlignment w:val="baseline"/>
        <w:rPr>
          <w:rFonts w:ascii="Times New Roman" w:hAnsi="Times New Roman" w:cs="Times New Roman"/>
          <w:sz w:val="24"/>
          <w:szCs w:val="24"/>
        </w:rPr>
      </w:pPr>
      <w:r w:rsidRPr="00766EF1">
        <w:rPr>
          <w:rFonts w:ascii="Times New Roman" w:hAnsi="Times New Roman" w:cs="Times New Roman"/>
          <w:bCs/>
          <w:sz w:val="24"/>
          <w:szCs w:val="24"/>
        </w:rPr>
        <w:t>Reasons for any deviation from the financial objectives in the CFSP together with proposed measures to address the deviation and the time estimated for doing so.</w:t>
      </w:r>
    </w:p>
    <w:p w14:paraId="2F8EE60C" w14:textId="1EDA6AD6" w:rsidR="00A3323A" w:rsidRPr="00A8135F" w:rsidRDefault="00A8135F" w:rsidP="00A8135F">
      <w:pPr>
        <w:pStyle w:val="Heading2"/>
        <w:rPr>
          <w:rFonts w:ascii="Times New Roman" w:hAnsi="Times New Roman" w:cs="Times New Roman"/>
          <w:color w:val="auto"/>
          <w:sz w:val="24"/>
          <w:szCs w:val="24"/>
        </w:rPr>
      </w:pPr>
      <w:bookmarkStart w:id="7" w:name="_Toc23266818"/>
      <w:r w:rsidRPr="00A8135F">
        <w:rPr>
          <w:rFonts w:ascii="Times New Roman" w:hAnsi="Times New Roman" w:cs="Times New Roman"/>
          <w:color w:val="auto"/>
          <w:sz w:val="24"/>
          <w:szCs w:val="24"/>
        </w:rPr>
        <w:t xml:space="preserve">1.2 </w:t>
      </w:r>
      <w:r w:rsidR="00A3323A" w:rsidRPr="00A8135F">
        <w:rPr>
          <w:rFonts w:ascii="Times New Roman" w:hAnsi="Times New Roman" w:cs="Times New Roman"/>
          <w:color w:val="auto"/>
          <w:sz w:val="24"/>
          <w:szCs w:val="24"/>
        </w:rPr>
        <w:t>Significance of CBROP</w:t>
      </w:r>
      <w:bookmarkEnd w:id="7"/>
    </w:p>
    <w:p w14:paraId="181C3134" w14:textId="77777777" w:rsidR="00A3323A" w:rsidRPr="00766EF1" w:rsidRDefault="00A3323A" w:rsidP="00A3323A">
      <w:pPr>
        <w:spacing w:before="200"/>
        <w:jc w:val="both"/>
        <w:rPr>
          <w:rFonts w:ascii="Times New Roman" w:hAnsi="Times New Roman" w:cs="Times New Roman"/>
          <w:sz w:val="24"/>
          <w:szCs w:val="24"/>
        </w:rPr>
      </w:pPr>
      <w:r w:rsidRPr="00766EF1">
        <w:rPr>
          <w:rFonts w:ascii="Times New Roman" w:hAnsi="Times New Roman" w:cs="Times New Roman"/>
          <w:sz w:val="24"/>
          <w:szCs w:val="24"/>
        </w:rPr>
        <w:t>This CBROP</w:t>
      </w:r>
      <w:r>
        <w:rPr>
          <w:rFonts w:ascii="Times New Roman" w:hAnsi="Times New Roman" w:cs="Times New Roman"/>
          <w:sz w:val="24"/>
          <w:szCs w:val="24"/>
        </w:rPr>
        <w:t>, 2019</w:t>
      </w:r>
      <w:r w:rsidRPr="00766EF1">
        <w:rPr>
          <w:rFonts w:ascii="Times New Roman" w:hAnsi="Times New Roman" w:cs="Times New Roman"/>
          <w:sz w:val="24"/>
          <w:szCs w:val="24"/>
        </w:rPr>
        <w:t xml:space="preserve"> is a key document in linking policy, planning and budgeting. The County Government finalized the preparation of the County I</w:t>
      </w:r>
      <w:r>
        <w:rPr>
          <w:rFonts w:ascii="Times New Roman" w:hAnsi="Times New Roman" w:cs="Times New Roman"/>
          <w:sz w:val="24"/>
          <w:szCs w:val="24"/>
        </w:rPr>
        <w:t>ntegrated Development Plan (2018</w:t>
      </w:r>
      <w:r w:rsidRPr="00766EF1">
        <w:rPr>
          <w:rFonts w:ascii="Times New Roman" w:hAnsi="Times New Roman" w:cs="Times New Roman"/>
          <w:sz w:val="24"/>
          <w:szCs w:val="24"/>
        </w:rPr>
        <w:t>-2022) and the Annual Development Plan (ADP) 2019/20 that will guide budgetary preparat</w:t>
      </w:r>
      <w:r>
        <w:rPr>
          <w:rFonts w:ascii="Times New Roman" w:hAnsi="Times New Roman" w:cs="Times New Roman"/>
          <w:sz w:val="24"/>
          <w:szCs w:val="24"/>
        </w:rPr>
        <w:t>ion and programming from FY 2020/21</w:t>
      </w:r>
      <w:r w:rsidRPr="00766EF1">
        <w:rPr>
          <w:rFonts w:ascii="Times New Roman" w:hAnsi="Times New Roman" w:cs="Times New Roman"/>
          <w:sz w:val="24"/>
          <w:szCs w:val="24"/>
        </w:rPr>
        <w:t xml:space="preserve"> onwards. </w:t>
      </w:r>
    </w:p>
    <w:p w14:paraId="0C985F60" w14:textId="77777777" w:rsidR="00A3323A" w:rsidRPr="00766EF1" w:rsidRDefault="00A3323A" w:rsidP="00A3323A">
      <w:pPr>
        <w:spacing w:before="200"/>
        <w:jc w:val="both"/>
        <w:rPr>
          <w:rFonts w:ascii="Times New Roman" w:hAnsi="Times New Roman" w:cs="Times New Roman"/>
          <w:sz w:val="24"/>
          <w:szCs w:val="24"/>
        </w:rPr>
      </w:pPr>
      <w:r w:rsidRPr="00766EF1">
        <w:rPr>
          <w:rFonts w:ascii="Times New Roman" w:hAnsi="Times New Roman" w:cs="Times New Roman"/>
          <w:sz w:val="24"/>
          <w:szCs w:val="24"/>
        </w:rPr>
        <w:t xml:space="preserve">This is also a requirement of the PFM Act, 2012, that requires that the budget process aims to promote the efficient and effective use of resources, based on evidence and rational deliberation. To achieve this, the sector ceilings projected in the CBROP are guided by the overall resource envelope that is informed by the macroeconomic and fiscal outlook as </w:t>
      </w:r>
      <w:r w:rsidRPr="00766EF1">
        <w:rPr>
          <w:rFonts w:ascii="Times New Roman" w:hAnsi="Times New Roman" w:cs="Times New Roman"/>
          <w:sz w:val="24"/>
          <w:szCs w:val="24"/>
        </w:rPr>
        <w:lastRenderedPageBreak/>
        <w:t>presented in section 3 and 4 of this document. The sector ceilings set in motion the budget preparati</w:t>
      </w:r>
      <w:r>
        <w:rPr>
          <w:rFonts w:ascii="Times New Roman" w:hAnsi="Times New Roman" w:cs="Times New Roman"/>
          <w:sz w:val="24"/>
          <w:szCs w:val="24"/>
        </w:rPr>
        <w:t>on for the FY 2020/21</w:t>
      </w:r>
      <w:r w:rsidRPr="00766EF1">
        <w:rPr>
          <w:rFonts w:ascii="Times New Roman" w:hAnsi="Times New Roman" w:cs="Times New Roman"/>
          <w:sz w:val="24"/>
          <w:szCs w:val="24"/>
        </w:rPr>
        <w:t xml:space="preserve"> and the medium term.</w:t>
      </w:r>
    </w:p>
    <w:p w14:paraId="4C8FA44A" w14:textId="469D970D" w:rsidR="00A3323A" w:rsidRPr="00A8135F" w:rsidRDefault="00A8135F" w:rsidP="00A8135F">
      <w:pPr>
        <w:pStyle w:val="Heading2"/>
        <w:rPr>
          <w:rFonts w:ascii="Times New Roman" w:hAnsi="Times New Roman" w:cs="Times New Roman"/>
          <w:color w:val="auto"/>
          <w:sz w:val="24"/>
          <w:szCs w:val="24"/>
        </w:rPr>
      </w:pPr>
      <w:bookmarkStart w:id="8" w:name="_Toc23266819"/>
      <w:r w:rsidRPr="00A8135F">
        <w:rPr>
          <w:rFonts w:ascii="Times New Roman" w:hAnsi="Times New Roman" w:cs="Times New Roman"/>
          <w:color w:val="auto"/>
          <w:sz w:val="24"/>
          <w:szCs w:val="24"/>
        </w:rPr>
        <w:t xml:space="preserve">1.3 </w:t>
      </w:r>
      <w:r w:rsidR="00A3323A" w:rsidRPr="00A8135F">
        <w:rPr>
          <w:rFonts w:ascii="Times New Roman" w:hAnsi="Times New Roman" w:cs="Times New Roman"/>
          <w:color w:val="auto"/>
          <w:sz w:val="24"/>
          <w:szCs w:val="24"/>
        </w:rPr>
        <w:t>Structure</w:t>
      </w:r>
      <w:bookmarkEnd w:id="8"/>
      <w:r w:rsidR="00A3323A" w:rsidRPr="00A8135F">
        <w:rPr>
          <w:rFonts w:ascii="Times New Roman" w:hAnsi="Times New Roman" w:cs="Times New Roman"/>
          <w:color w:val="auto"/>
          <w:sz w:val="24"/>
          <w:szCs w:val="24"/>
        </w:rPr>
        <w:t xml:space="preserve"> </w:t>
      </w:r>
    </w:p>
    <w:p w14:paraId="473E5A56" w14:textId="77777777" w:rsidR="008002B3" w:rsidRDefault="00A3323A" w:rsidP="00A3323A">
      <w:pPr>
        <w:spacing w:before="200"/>
        <w:jc w:val="both"/>
        <w:rPr>
          <w:rFonts w:ascii="Times New Roman" w:hAnsi="Times New Roman" w:cs="Times New Roman"/>
          <w:sz w:val="24"/>
          <w:szCs w:val="24"/>
        </w:rPr>
      </w:pPr>
      <w:r w:rsidRPr="00766EF1">
        <w:rPr>
          <w:rFonts w:ascii="Times New Roman" w:hAnsi="Times New Roman" w:cs="Times New Roman"/>
          <w:sz w:val="24"/>
          <w:szCs w:val="24"/>
        </w:rPr>
        <w:t xml:space="preserve">This paper has four other sections. </w:t>
      </w:r>
    </w:p>
    <w:p w14:paraId="6984739C" w14:textId="462BF4E4" w:rsidR="00836D2B" w:rsidRPr="001C6469" w:rsidRDefault="00836D2B" w:rsidP="001C6469">
      <w:pPr>
        <w:spacing w:before="200" w:line="360" w:lineRule="auto"/>
        <w:jc w:val="both"/>
        <w:rPr>
          <w:rFonts w:ascii="Times New Roman" w:hAnsi="Times New Roman" w:cs="Times New Roman"/>
          <w:sz w:val="24"/>
          <w:szCs w:val="24"/>
        </w:rPr>
      </w:pPr>
      <w:r w:rsidRPr="001C6469">
        <w:rPr>
          <w:rFonts w:ascii="Times New Roman" w:hAnsi="Times New Roman" w:cs="Times New Roman"/>
          <w:b/>
          <w:sz w:val="24"/>
          <w:szCs w:val="24"/>
        </w:rPr>
        <w:t>Section One:</w:t>
      </w:r>
      <w:r w:rsidR="00D550F3" w:rsidRPr="001C6469">
        <w:rPr>
          <w:rFonts w:ascii="Times New Roman" w:hAnsi="Times New Roman" w:cs="Times New Roman"/>
          <w:sz w:val="24"/>
          <w:szCs w:val="24"/>
        </w:rPr>
        <w:t xml:space="preserve"> This section state</w:t>
      </w:r>
      <w:r w:rsidR="004A5BC7">
        <w:rPr>
          <w:rFonts w:ascii="Times New Roman" w:hAnsi="Times New Roman" w:cs="Times New Roman"/>
          <w:sz w:val="24"/>
          <w:szCs w:val="24"/>
        </w:rPr>
        <w:t>s the objective of the C</w:t>
      </w:r>
      <w:r w:rsidR="001C6469" w:rsidRPr="001C6469">
        <w:rPr>
          <w:rFonts w:ascii="Times New Roman" w:hAnsi="Times New Roman" w:cs="Times New Roman"/>
          <w:sz w:val="24"/>
          <w:szCs w:val="24"/>
        </w:rPr>
        <w:t>BR</w:t>
      </w:r>
      <w:r w:rsidR="004A5BC7">
        <w:rPr>
          <w:rFonts w:ascii="Times New Roman" w:hAnsi="Times New Roman" w:cs="Times New Roman"/>
          <w:sz w:val="24"/>
          <w:szCs w:val="24"/>
        </w:rPr>
        <w:t>OP</w:t>
      </w:r>
      <w:r w:rsidR="001C6469" w:rsidRPr="001C6469">
        <w:rPr>
          <w:rFonts w:ascii="Times New Roman" w:hAnsi="Times New Roman" w:cs="Times New Roman"/>
          <w:sz w:val="24"/>
          <w:szCs w:val="24"/>
        </w:rPr>
        <w:t xml:space="preserve">, </w:t>
      </w:r>
      <w:r w:rsidR="00D550F3" w:rsidRPr="00D550F3">
        <w:rPr>
          <w:rFonts w:ascii="Times New Roman" w:hAnsi="Times New Roman" w:cs="Times New Roman"/>
          <w:sz w:val="24"/>
          <w:szCs w:val="24"/>
        </w:rPr>
        <w:t>lays out its significance in</w:t>
      </w:r>
      <w:r w:rsidR="001C6469" w:rsidRPr="001C6469">
        <w:rPr>
          <w:rFonts w:ascii="Times New Roman" w:hAnsi="Times New Roman" w:cs="Times New Roman"/>
          <w:sz w:val="24"/>
          <w:szCs w:val="24"/>
        </w:rPr>
        <w:t xml:space="preserve"> the budget preparation process and </w:t>
      </w:r>
      <w:r w:rsidR="00D550F3" w:rsidRPr="001C6469">
        <w:rPr>
          <w:rFonts w:ascii="Times New Roman" w:hAnsi="Times New Roman" w:cs="Times New Roman"/>
          <w:color w:val="000000"/>
          <w:w w:val="118"/>
          <w:sz w:val="24"/>
          <w:szCs w:val="24"/>
        </w:rPr>
        <w:t xml:space="preserve">provides a brief description of the paper’s structure into its four sections </w:t>
      </w:r>
      <w:r w:rsidR="00D550F3" w:rsidRPr="001C6469">
        <w:rPr>
          <w:rFonts w:ascii="Times New Roman" w:hAnsi="Times New Roman" w:cs="Times New Roman"/>
          <w:color w:val="000000"/>
          <w:w w:val="113"/>
          <w:sz w:val="24"/>
          <w:szCs w:val="24"/>
        </w:rPr>
        <w:t>and a one line description of what they are about.</w:t>
      </w:r>
    </w:p>
    <w:p w14:paraId="65037D1C" w14:textId="77777777" w:rsidR="008002B3" w:rsidRDefault="00A3323A" w:rsidP="0007084B">
      <w:pPr>
        <w:spacing w:before="200" w:line="360" w:lineRule="auto"/>
        <w:jc w:val="both"/>
        <w:rPr>
          <w:rFonts w:ascii="Times New Roman" w:hAnsi="Times New Roman" w:cs="Times New Roman"/>
          <w:sz w:val="24"/>
          <w:szCs w:val="24"/>
        </w:rPr>
      </w:pPr>
      <w:r w:rsidRPr="008002B3">
        <w:rPr>
          <w:rFonts w:ascii="Times New Roman" w:hAnsi="Times New Roman" w:cs="Times New Roman"/>
          <w:b/>
          <w:sz w:val="24"/>
          <w:szCs w:val="24"/>
        </w:rPr>
        <w:t>Section Two</w:t>
      </w:r>
      <w:r w:rsidRPr="00766EF1">
        <w:rPr>
          <w:rFonts w:ascii="Times New Roman" w:hAnsi="Times New Roman" w:cs="Times New Roman"/>
          <w:sz w:val="24"/>
          <w:szCs w:val="24"/>
        </w:rPr>
        <w:t xml:space="preserve"> reviews the county’s fiscal performance for the previous year. It is divided into three sub-sections, namely, The Overview, Fiscal Performance and Implications of Fiscal Performance. </w:t>
      </w:r>
    </w:p>
    <w:p w14:paraId="59F9C7E1" w14:textId="77777777" w:rsidR="0007084B" w:rsidRDefault="008002B3" w:rsidP="0007084B">
      <w:pPr>
        <w:spacing w:before="200" w:line="360" w:lineRule="auto"/>
        <w:jc w:val="both"/>
        <w:rPr>
          <w:rFonts w:ascii="Times New Roman" w:hAnsi="Times New Roman" w:cs="Times New Roman"/>
          <w:sz w:val="24"/>
          <w:szCs w:val="24"/>
        </w:rPr>
      </w:pPr>
      <w:r>
        <w:rPr>
          <w:rFonts w:ascii="Times New Roman" w:hAnsi="Times New Roman" w:cs="Times New Roman"/>
          <w:b/>
          <w:sz w:val="24"/>
          <w:szCs w:val="24"/>
        </w:rPr>
        <w:t>Section T</w:t>
      </w:r>
      <w:r w:rsidR="00A3323A" w:rsidRPr="008002B3">
        <w:rPr>
          <w:rFonts w:ascii="Times New Roman" w:hAnsi="Times New Roman" w:cs="Times New Roman"/>
          <w:b/>
          <w:sz w:val="24"/>
          <w:szCs w:val="24"/>
        </w:rPr>
        <w:t>hree</w:t>
      </w:r>
      <w:r w:rsidR="00A3323A" w:rsidRPr="00766EF1">
        <w:rPr>
          <w:rFonts w:ascii="Times New Roman" w:hAnsi="Times New Roman" w:cs="Times New Roman"/>
          <w:sz w:val="24"/>
          <w:szCs w:val="24"/>
        </w:rPr>
        <w:t xml:space="preserve"> reviews recent economic developments and has four subsections of Recent Economic Developments, Economic Outlook &amp; Policies, Medium Term Fiscal Framework and Risks to the Outlook. </w:t>
      </w:r>
    </w:p>
    <w:p w14:paraId="7E7724A7" w14:textId="77777777" w:rsidR="007959D5" w:rsidRDefault="0007084B" w:rsidP="0007084B">
      <w:pPr>
        <w:spacing w:before="200" w:line="360" w:lineRule="auto"/>
        <w:jc w:val="both"/>
        <w:rPr>
          <w:rFonts w:ascii="Times New Roman" w:hAnsi="Times New Roman" w:cs="Times New Roman"/>
          <w:sz w:val="24"/>
          <w:szCs w:val="24"/>
        </w:rPr>
      </w:pPr>
      <w:r w:rsidRPr="0007084B">
        <w:rPr>
          <w:rFonts w:ascii="Times New Roman" w:hAnsi="Times New Roman" w:cs="Times New Roman"/>
          <w:b/>
          <w:sz w:val="24"/>
          <w:szCs w:val="24"/>
        </w:rPr>
        <w:t>Section F</w:t>
      </w:r>
      <w:r w:rsidR="00A3323A" w:rsidRPr="0007084B">
        <w:rPr>
          <w:rFonts w:ascii="Times New Roman" w:hAnsi="Times New Roman" w:cs="Times New Roman"/>
          <w:b/>
          <w:sz w:val="24"/>
          <w:szCs w:val="24"/>
        </w:rPr>
        <w:t>our</w:t>
      </w:r>
      <w:r w:rsidR="00A3323A" w:rsidRPr="00766EF1">
        <w:rPr>
          <w:rFonts w:ascii="Times New Roman" w:hAnsi="Times New Roman" w:cs="Times New Roman"/>
          <w:sz w:val="24"/>
          <w:szCs w:val="24"/>
        </w:rPr>
        <w:t xml:space="preserve"> sets out how the county government intends to operate within its means. It establishes the resources envelop</w:t>
      </w:r>
      <w:r>
        <w:rPr>
          <w:rFonts w:ascii="Times New Roman" w:hAnsi="Times New Roman" w:cs="Times New Roman"/>
          <w:sz w:val="24"/>
          <w:szCs w:val="24"/>
        </w:rPr>
        <w:t>e</w:t>
      </w:r>
      <w:r w:rsidR="00A3323A" w:rsidRPr="00766EF1">
        <w:rPr>
          <w:rFonts w:ascii="Times New Roman" w:hAnsi="Times New Roman" w:cs="Times New Roman"/>
          <w:sz w:val="24"/>
          <w:szCs w:val="24"/>
        </w:rPr>
        <w:t xml:space="preserve"> (total revenues) it expects, </w:t>
      </w:r>
      <w:r w:rsidRPr="00766EF1">
        <w:rPr>
          <w:rFonts w:ascii="Times New Roman" w:hAnsi="Times New Roman" w:cs="Times New Roman"/>
          <w:sz w:val="24"/>
          <w:szCs w:val="24"/>
        </w:rPr>
        <w:t>and then</w:t>
      </w:r>
      <w:r w:rsidR="00A3323A" w:rsidRPr="00766EF1">
        <w:rPr>
          <w:rFonts w:ascii="Times New Roman" w:hAnsi="Times New Roman" w:cs="Times New Roman"/>
          <w:sz w:val="24"/>
          <w:szCs w:val="24"/>
        </w:rPr>
        <w:t xml:space="preserve"> allocates these across departments by setting expenditure ceilings for each department. In addition, it has four sub-sections: adjustment to the proposed budget; the medium term expenditure framework; proposed budget framework; and projected fiscal balance and likely financing.</w:t>
      </w:r>
    </w:p>
    <w:p w14:paraId="7F66F750" w14:textId="0972A079" w:rsidR="00863FC7" w:rsidRPr="00766EF1" w:rsidRDefault="007959D5" w:rsidP="005E5F9B">
      <w:pPr>
        <w:spacing w:before="20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7959D5">
        <w:rPr>
          <w:rFonts w:ascii="Times New Roman" w:hAnsi="Times New Roman" w:cs="Times New Roman"/>
          <w:b/>
          <w:sz w:val="24"/>
          <w:szCs w:val="24"/>
        </w:rPr>
        <w:t>S</w:t>
      </w:r>
      <w:r w:rsidR="00A3323A" w:rsidRPr="007959D5">
        <w:rPr>
          <w:rFonts w:ascii="Times New Roman" w:hAnsi="Times New Roman" w:cs="Times New Roman"/>
          <w:b/>
          <w:sz w:val="24"/>
          <w:szCs w:val="24"/>
        </w:rPr>
        <w:t>ect</w:t>
      </w:r>
      <w:r w:rsidRPr="007959D5">
        <w:rPr>
          <w:rFonts w:ascii="Times New Roman" w:hAnsi="Times New Roman" w:cs="Times New Roman"/>
          <w:b/>
          <w:sz w:val="24"/>
          <w:szCs w:val="24"/>
        </w:rPr>
        <w:t>ion F</w:t>
      </w:r>
      <w:r w:rsidR="00A3323A" w:rsidRPr="007959D5">
        <w:rPr>
          <w:rFonts w:ascii="Times New Roman" w:hAnsi="Times New Roman" w:cs="Times New Roman"/>
          <w:b/>
          <w:sz w:val="24"/>
          <w:szCs w:val="24"/>
        </w:rPr>
        <w:t>ive</w:t>
      </w:r>
      <w:r w:rsidR="005E5F9B">
        <w:rPr>
          <w:rFonts w:ascii="Times New Roman" w:hAnsi="Times New Roman" w:cs="Times New Roman"/>
          <w:b/>
          <w:sz w:val="24"/>
          <w:szCs w:val="24"/>
        </w:rPr>
        <w:t>.</w:t>
      </w:r>
      <w:r w:rsidR="00A3323A" w:rsidRPr="00766EF1">
        <w:rPr>
          <w:rFonts w:ascii="Times New Roman" w:hAnsi="Times New Roman" w:cs="Times New Roman"/>
          <w:sz w:val="24"/>
          <w:szCs w:val="24"/>
        </w:rPr>
        <w:t xml:space="preserve"> </w:t>
      </w:r>
      <w:r w:rsidR="005E5F9B" w:rsidRPr="005E5F9B">
        <w:rPr>
          <w:rFonts w:ascii="Times New Roman" w:hAnsi="Times New Roman" w:cs="Times New Roman"/>
          <w:sz w:val="24"/>
          <w:szCs w:val="24"/>
        </w:rPr>
        <w:t>This section is the opportunity to concisely capture the purpose and value of the Budget Review and Outlook Paper.  It re-paints the broad picture of the previous year’s fiscal outcome, the updated macroeconomic forecast that indicates changed circumstances, and then their implications on the financial objectives that were elaborated in the last County Fiscal Strategy Paper that was submitted to the Co</w:t>
      </w:r>
      <w:r w:rsidR="000E3ED0">
        <w:rPr>
          <w:rFonts w:ascii="Times New Roman" w:hAnsi="Times New Roman" w:cs="Times New Roman"/>
          <w:sz w:val="24"/>
          <w:szCs w:val="24"/>
        </w:rPr>
        <w:t>unty Assembly the previous February</w:t>
      </w:r>
      <w:r w:rsidR="005E5F9B" w:rsidRPr="005E5F9B">
        <w:rPr>
          <w:rFonts w:ascii="Times New Roman" w:hAnsi="Times New Roman" w:cs="Times New Roman"/>
          <w:sz w:val="24"/>
          <w:szCs w:val="24"/>
        </w:rPr>
        <w:t>.</w:t>
      </w:r>
      <w:r w:rsidR="005E5F9B">
        <w:rPr>
          <w:rFonts w:ascii="Calibri" w:hAnsi="Calibri" w:cs="Calibri"/>
          <w:color w:val="000000"/>
          <w:w w:val="116"/>
        </w:rPr>
        <w:t xml:space="preserve"> </w:t>
      </w:r>
      <w:r w:rsidR="00863FC7" w:rsidRPr="00766EF1">
        <w:rPr>
          <w:rFonts w:ascii="Times New Roman" w:hAnsi="Times New Roman" w:cs="Times New Roman"/>
          <w:sz w:val="24"/>
          <w:szCs w:val="24"/>
        </w:rPr>
        <w:br w:type="page"/>
      </w:r>
    </w:p>
    <w:p w14:paraId="2C2AA54F" w14:textId="69B8C127" w:rsidR="00F1744C" w:rsidRPr="00766EF1" w:rsidRDefault="00F1744C" w:rsidP="00A8135F">
      <w:pPr>
        <w:pStyle w:val="Heading1"/>
        <w:numPr>
          <w:ilvl w:val="0"/>
          <w:numId w:val="24"/>
        </w:numPr>
        <w:pBdr>
          <w:bottom w:val="single" w:sz="4" w:space="1" w:color="auto"/>
        </w:pBdr>
        <w:spacing w:after="240"/>
        <w:rPr>
          <w:rFonts w:ascii="Times New Roman" w:hAnsi="Times New Roman" w:cs="Times New Roman"/>
          <w:color w:val="auto"/>
          <w:sz w:val="24"/>
          <w:szCs w:val="24"/>
        </w:rPr>
      </w:pPr>
      <w:bookmarkStart w:id="9" w:name="_Toc23266820"/>
      <w:r w:rsidRPr="00766EF1">
        <w:rPr>
          <w:rFonts w:ascii="Times New Roman" w:hAnsi="Times New Roman" w:cs="Times New Roman"/>
          <w:color w:val="auto"/>
          <w:sz w:val="24"/>
          <w:szCs w:val="24"/>
        </w:rPr>
        <w:lastRenderedPageBreak/>
        <w:t>REVI</w:t>
      </w:r>
      <w:r w:rsidR="00A35480" w:rsidRPr="00766EF1">
        <w:rPr>
          <w:rFonts w:ascii="Times New Roman" w:hAnsi="Times New Roman" w:cs="Times New Roman"/>
          <w:color w:val="auto"/>
          <w:sz w:val="24"/>
          <w:szCs w:val="24"/>
        </w:rPr>
        <w:t xml:space="preserve">EW OF </w:t>
      </w:r>
      <w:r w:rsidR="004432BA" w:rsidRPr="00766EF1">
        <w:rPr>
          <w:rFonts w:ascii="Times New Roman" w:hAnsi="Times New Roman" w:cs="Times New Roman"/>
          <w:color w:val="auto"/>
          <w:sz w:val="24"/>
          <w:szCs w:val="24"/>
        </w:rPr>
        <w:t xml:space="preserve">COUNTY </w:t>
      </w:r>
      <w:r w:rsidR="00A35480" w:rsidRPr="00766EF1">
        <w:rPr>
          <w:rFonts w:ascii="Times New Roman" w:hAnsi="Times New Roman" w:cs="Times New Roman"/>
          <w:color w:val="auto"/>
          <w:sz w:val="24"/>
          <w:szCs w:val="24"/>
        </w:rPr>
        <w:t>FISCA</w:t>
      </w:r>
      <w:r w:rsidR="00A8135F">
        <w:rPr>
          <w:rFonts w:ascii="Times New Roman" w:hAnsi="Times New Roman" w:cs="Times New Roman"/>
          <w:color w:val="auto"/>
          <w:sz w:val="24"/>
          <w:szCs w:val="24"/>
        </w:rPr>
        <w:t>L PERFORMANCE IN 2018/19</w:t>
      </w:r>
      <w:r w:rsidR="0065109E" w:rsidRPr="00766EF1">
        <w:rPr>
          <w:rFonts w:ascii="Times New Roman" w:hAnsi="Times New Roman" w:cs="Times New Roman"/>
          <w:color w:val="auto"/>
          <w:sz w:val="24"/>
          <w:szCs w:val="24"/>
        </w:rPr>
        <w:t xml:space="preserve"> FY</w:t>
      </w:r>
      <w:bookmarkEnd w:id="9"/>
    </w:p>
    <w:p w14:paraId="7B149B3E" w14:textId="5BE58133" w:rsidR="000E215E" w:rsidRPr="00766EF1" w:rsidRDefault="000E215E" w:rsidP="00650A25">
      <w:pPr>
        <w:spacing w:before="200"/>
        <w:jc w:val="both"/>
        <w:rPr>
          <w:rFonts w:ascii="Times New Roman" w:hAnsi="Times New Roman" w:cs="Times New Roman"/>
          <w:sz w:val="24"/>
          <w:szCs w:val="24"/>
        </w:rPr>
      </w:pPr>
      <w:r w:rsidRPr="00766EF1">
        <w:rPr>
          <w:rFonts w:ascii="Times New Roman" w:hAnsi="Times New Roman" w:cs="Times New Roman"/>
          <w:sz w:val="24"/>
          <w:szCs w:val="24"/>
        </w:rPr>
        <w:t>This section details the county’s fiscal performance for the financial year 201</w:t>
      </w:r>
      <w:r w:rsidR="000D7D1A">
        <w:rPr>
          <w:rFonts w:ascii="Times New Roman" w:hAnsi="Times New Roman" w:cs="Times New Roman"/>
          <w:sz w:val="24"/>
          <w:szCs w:val="24"/>
        </w:rPr>
        <w:t>8</w:t>
      </w:r>
      <w:r w:rsidRPr="00766EF1">
        <w:rPr>
          <w:rFonts w:ascii="Times New Roman" w:hAnsi="Times New Roman" w:cs="Times New Roman"/>
          <w:sz w:val="24"/>
          <w:szCs w:val="24"/>
        </w:rPr>
        <w:t>/1</w:t>
      </w:r>
      <w:r w:rsidR="000D7D1A">
        <w:rPr>
          <w:rFonts w:ascii="Times New Roman" w:hAnsi="Times New Roman" w:cs="Times New Roman"/>
          <w:sz w:val="24"/>
          <w:szCs w:val="24"/>
        </w:rPr>
        <w:t>9</w:t>
      </w:r>
      <w:r w:rsidRPr="00766EF1">
        <w:rPr>
          <w:rFonts w:ascii="Times New Roman" w:hAnsi="Times New Roman" w:cs="Times New Roman"/>
          <w:sz w:val="24"/>
          <w:szCs w:val="24"/>
        </w:rPr>
        <w:t xml:space="preserve"> in relation to the</w:t>
      </w:r>
      <w:r w:rsidR="00A45ADE" w:rsidRPr="00766EF1">
        <w:rPr>
          <w:rFonts w:ascii="Times New Roman" w:hAnsi="Times New Roman" w:cs="Times New Roman"/>
          <w:sz w:val="24"/>
          <w:szCs w:val="24"/>
        </w:rPr>
        <w:t xml:space="preserve"> approved programme based estimates and details the </w:t>
      </w:r>
      <w:r w:rsidRPr="00766EF1">
        <w:rPr>
          <w:rFonts w:ascii="Times New Roman" w:hAnsi="Times New Roman" w:cs="Times New Roman"/>
          <w:sz w:val="24"/>
          <w:szCs w:val="24"/>
        </w:rPr>
        <w:t>implications arising from the fiscal perform</w:t>
      </w:r>
      <w:r w:rsidR="00A45ADE" w:rsidRPr="00766EF1">
        <w:rPr>
          <w:rFonts w:ascii="Times New Roman" w:hAnsi="Times New Roman" w:cs="Times New Roman"/>
          <w:sz w:val="24"/>
          <w:szCs w:val="24"/>
        </w:rPr>
        <w:t>ance for the same period</w:t>
      </w:r>
      <w:r w:rsidRPr="00766EF1">
        <w:rPr>
          <w:rFonts w:ascii="Times New Roman" w:hAnsi="Times New Roman" w:cs="Times New Roman"/>
          <w:sz w:val="24"/>
          <w:szCs w:val="24"/>
        </w:rPr>
        <w:t>.</w:t>
      </w:r>
    </w:p>
    <w:p w14:paraId="609487AB" w14:textId="77777777" w:rsidR="000E215E" w:rsidRPr="00766EF1" w:rsidRDefault="000E215E" w:rsidP="001E7D14">
      <w:pPr>
        <w:pStyle w:val="ListParagraph"/>
        <w:numPr>
          <w:ilvl w:val="0"/>
          <w:numId w:val="3"/>
        </w:numPr>
        <w:rPr>
          <w:rFonts w:ascii="Times New Roman" w:hAnsi="Times New Roman" w:cs="Times New Roman"/>
          <w:b/>
          <w:vanish/>
          <w:sz w:val="24"/>
          <w:szCs w:val="24"/>
        </w:rPr>
      </w:pPr>
    </w:p>
    <w:p w14:paraId="3D25858F" w14:textId="77777777" w:rsidR="0034609F" w:rsidRPr="00766EF1" w:rsidRDefault="0034609F" w:rsidP="001E7D14">
      <w:pPr>
        <w:pStyle w:val="ListParagraph"/>
        <w:keepNext/>
        <w:keepLines/>
        <w:numPr>
          <w:ilvl w:val="0"/>
          <w:numId w:val="7"/>
        </w:numPr>
        <w:pBdr>
          <w:bottom w:val="single" w:sz="4" w:space="1" w:color="auto"/>
        </w:pBdr>
        <w:spacing w:before="480" w:after="240"/>
        <w:contextualSpacing w:val="0"/>
        <w:outlineLvl w:val="0"/>
        <w:rPr>
          <w:rFonts w:ascii="Times New Roman" w:eastAsiaTheme="majorEastAsia" w:hAnsi="Times New Roman" w:cs="Times New Roman"/>
          <w:b/>
          <w:bCs/>
          <w:vanish/>
          <w:sz w:val="24"/>
          <w:szCs w:val="24"/>
        </w:rPr>
      </w:pPr>
      <w:bookmarkStart w:id="10" w:name="_Toc525548856"/>
      <w:bookmarkStart w:id="11" w:name="_Toc525549537"/>
      <w:bookmarkStart w:id="12" w:name="_Toc525549586"/>
      <w:bookmarkStart w:id="13" w:name="_Toc525549611"/>
      <w:bookmarkStart w:id="14" w:name="_Toc525977252"/>
      <w:bookmarkStart w:id="15" w:name="_Toc525977974"/>
      <w:bookmarkStart w:id="16" w:name="_Toc20319140"/>
      <w:bookmarkStart w:id="17" w:name="_Toc20319165"/>
      <w:bookmarkStart w:id="18" w:name="_Toc20319218"/>
      <w:bookmarkStart w:id="19" w:name="_Toc20320363"/>
      <w:bookmarkStart w:id="20" w:name="_Toc20321201"/>
      <w:bookmarkStart w:id="21" w:name="_Toc20325768"/>
      <w:bookmarkStart w:id="22" w:name="_Toc20381771"/>
      <w:bookmarkStart w:id="23" w:name="_Toc22835302"/>
      <w:bookmarkStart w:id="24" w:name="_Toc23266821"/>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p>
    <w:p w14:paraId="6381A201" w14:textId="77777777" w:rsidR="0034609F" w:rsidRPr="00766EF1" w:rsidRDefault="0034609F" w:rsidP="001E7D14">
      <w:pPr>
        <w:pStyle w:val="ListParagraph"/>
        <w:keepNext/>
        <w:keepLines/>
        <w:numPr>
          <w:ilvl w:val="0"/>
          <w:numId w:val="7"/>
        </w:numPr>
        <w:pBdr>
          <w:bottom w:val="single" w:sz="4" w:space="1" w:color="auto"/>
        </w:pBdr>
        <w:spacing w:before="480" w:after="240"/>
        <w:contextualSpacing w:val="0"/>
        <w:outlineLvl w:val="0"/>
        <w:rPr>
          <w:rFonts w:ascii="Times New Roman" w:eastAsiaTheme="majorEastAsia" w:hAnsi="Times New Roman" w:cs="Times New Roman"/>
          <w:b/>
          <w:bCs/>
          <w:vanish/>
          <w:sz w:val="24"/>
          <w:szCs w:val="24"/>
        </w:rPr>
      </w:pPr>
      <w:bookmarkStart w:id="25" w:name="_Toc525548857"/>
      <w:bookmarkStart w:id="26" w:name="_Toc525549538"/>
      <w:bookmarkStart w:id="27" w:name="_Toc525549587"/>
      <w:bookmarkStart w:id="28" w:name="_Toc525549612"/>
      <w:bookmarkStart w:id="29" w:name="_Toc525977253"/>
      <w:bookmarkStart w:id="30" w:name="_Toc525977975"/>
      <w:bookmarkStart w:id="31" w:name="_Toc20319141"/>
      <w:bookmarkStart w:id="32" w:name="_Toc20319166"/>
      <w:bookmarkStart w:id="33" w:name="_Toc20319219"/>
      <w:bookmarkStart w:id="34" w:name="_Toc20320364"/>
      <w:bookmarkStart w:id="35" w:name="_Toc20321202"/>
      <w:bookmarkStart w:id="36" w:name="_Toc20325769"/>
      <w:bookmarkStart w:id="37" w:name="_Toc20381772"/>
      <w:bookmarkStart w:id="38" w:name="_Toc22835303"/>
      <w:bookmarkStart w:id="39" w:name="_Toc23266822"/>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p>
    <w:p w14:paraId="7F30DF25" w14:textId="77777777" w:rsidR="0034609F" w:rsidRPr="00766EF1" w:rsidRDefault="0034609F" w:rsidP="001E7D14">
      <w:pPr>
        <w:pStyle w:val="ListParagraph"/>
        <w:keepNext/>
        <w:keepLines/>
        <w:numPr>
          <w:ilvl w:val="0"/>
          <w:numId w:val="6"/>
        </w:numPr>
        <w:spacing w:before="240" w:after="240" w:line="240" w:lineRule="auto"/>
        <w:contextualSpacing w:val="0"/>
        <w:outlineLvl w:val="0"/>
        <w:rPr>
          <w:rFonts w:ascii="Times New Roman" w:eastAsiaTheme="majorEastAsia" w:hAnsi="Times New Roman" w:cs="Times New Roman"/>
          <w:b/>
          <w:bCs/>
          <w:vanish/>
          <w:sz w:val="24"/>
          <w:szCs w:val="24"/>
        </w:rPr>
      </w:pPr>
      <w:bookmarkStart w:id="40" w:name="_Toc525548858"/>
      <w:bookmarkStart w:id="41" w:name="_Toc525549539"/>
      <w:bookmarkStart w:id="42" w:name="_Toc525549588"/>
      <w:bookmarkStart w:id="43" w:name="_Toc525549613"/>
      <w:bookmarkStart w:id="44" w:name="_Toc525977254"/>
      <w:bookmarkStart w:id="45" w:name="_Toc525977976"/>
      <w:bookmarkStart w:id="46" w:name="_Toc20319142"/>
      <w:bookmarkStart w:id="47" w:name="_Toc20319167"/>
      <w:bookmarkStart w:id="48" w:name="_Toc20319220"/>
      <w:bookmarkStart w:id="49" w:name="_Toc20320365"/>
      <w:bookmarkStart w:id="50" w:name="_Toc20321203"/>
      <w:bookmarkStart w:id="51" w:name="_Toc20325770"/>
      <w:bookmarkStart w:id="52" w:name="_Toc20381773"/>
      <w:bookmarkStart w:id="53" w:name="_Toc22835304"/>
      <w:bookmarkStart w:id="54" w:name="_Toc23266823"/>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p>
    <w:p w14:paraId="10ED8608" w14:textId="2F46A6B6" w:rsidR="000E215E" w:rsidRPr="00A8135F" w:rsidRDefault="00A8135F" w:rsidP="00A8135F">
      <w:pPr>
        <w:pStyle w:val="Heading2"/>
        <w:rPr>
          <w:rFonts w:ascii="Times New Roman" w:hAnsi="Times New Roman" w:cs="Times New Roman"/>
          <w:color w:val="auto"/>
          <w:sz w:val="24"/>
          <w:szCs w:val="24"/>
        </w:rPr>
      </w:pPr>
      <w:bookmarkStart w:id="55" w:name="_Toc23266824"/>
      <w:r>
        <w:rPr>
          <w:rFonts w:ascii="Times New Roman" w:hAnsi="Times New Roman" w:cs="Times New Roman"/>
          <w:color w:val="auto"/>
          <w:sz w:val="24"/>
          <w:szCs w:val="24"/>
        </w:rPr>
        <w:t xml:space="preserve">2.1 </w:t>
      </w:r>
      <w:r w:rsidR="000E215E" w:rsidRPr="00A8135F">
        <w:rPr>
          <w:rFonts w:ascii="Times New Roman" w:hAnsi="Times New Roman" w:cs="Times New Roman"/>
          <w:color w:val="auto"/>
          <w:sz w:val="24"/>
          <w:szCs w:val="24"/>
        </w:rPr>
        <w:t>Overview</w:t>
      </w:r>
      <w:bookmarkEnd w:id="55"/>
    </w:p>
    <w:p w14:paraId="399726AB" w14:textId="0E9A773E" w:rsidR="005B4D06" w:rsidRPr="00372121" w:rsidRDefault="005B4D06" w:rsidP="005B4D06">
      <w:pPr>
        <w:pStyle w:val="Default"/>
        <w:spacing w:line="360" w:lineRule="auto"/>
        <w:jc w:val="both"/>
        <w:rPr>
          <w:rFonts w:ascii="Times New Roman" w:hAnsi="Times New Roman" w:cs="Times New Roman"/>
        </w:rPr>
      </w:pPr>
      <w:r w:rsidRPr="00372121">
        <w:rPr>
          <w:rFonts w:ascii="Times New Roman" w:hAnsi="Times New Roman" w:cs="Times New Roman"/>
        </w:rPr>
        <w:t>The fiscal performance for the FY 2018/19 was broadly satisfactory in view of challenges emanating from revenue shortfall and growing expenditure pressure</w:t>
      </w:r>
      <w:r w:rsidR="000D7D1A">
        <w:rPr>
          <w:rFonts w:ascii="Times New Roman" w:hAnsi="Times New Roman" w:cs="Times New Roman"/>
        </w:rPr>
        <w:t xml:space="preserve"> </w:t>
      </w:r>
      <w:r w:rsidRPr="00372121">
        <w:rPr>
          <w:rFonts w:ascii="Times New Roman" w:hAnsi="Times New Roman" w:cs="Times New Roman"/>
        </w:rPr>
        <w:t xml:space="preserve">resulting from broad policy measures and shortfall in projected revenues. </w:t>
      </w:r>
    </w:p>
    <w:p w14:paraId="76B348E5" w14:textId="77777777" w:rsidR="005B4D06" w:rsidRPr="00372121" w:rsidRDefault="005B4D06" w:rsidP="005B4D06">
      <w:pPr>
        <w:pStyle w:val="Default"/>
        <w:spacing w:line="360" w:lineRule="auto"/>
        <w:jc w:val="both"/>
        <w:rPr>
          <w:rFonts w:ascii="Times New Roman" w:hAnsi="Times New Roman" w:cs="Times New Roman"/>
        </w:rPr>
      </w:pPr>
    </w:p>
    <w:p w14:paraId="57006875" w14:textId="3E020E8E" w:rsidR="005B4D06" w:rsidRPr="00372121" w:rsidRDefault="005B4D06" w:rsidP="005B4D06">
      <w:pPr>
        <w:pStyle w:val="Default"/>
        <w:spacing w:line="360" w:lineRule="auto"/>
        <w:jc w:val="both"/>
        <w:rPr>
          <w:rFonts w:ascii="Times New Roman" w:hAnsi="Times New Roman" w:cs="Times New Roman"/>
        </w:rPr>
      </w:pPr>
      <w:r w:rsidRPr="00372121">
        <w:rPr>
          <w:rFonts w:ascii="Times New Roman" w:hAnsi="Times New Roman" w:cs="Times New Roman"/>
        </w:rPr>
        <w:t xml:space="preserve"> At the close of the </w:t>
      </w:r>
      <w:r w:rsidR="000D7D1A">
        <w:rPr>
          <w:rFonts w:ascii="Times New Roman" w:hAnsi="Times New Roman" w:cs="Times New Roman"/>
        </w:rPr>
        <w:t xml:space="preserve">financial </w:t>
      </w:r>
      <w:r w:rsidR="00742EB1">
        <w:rPr>
          <w:rFonts w:ascii="Times New Roman" w:hAnsi="Times New Roman" w:cs="Times New Roman"/>
        </w:rPr>
        <w:t>year,</w:t>
      </w:r>
      <w:r w:rsidRPr="00372121">
        <w:rPr>
          <w:rFonts w:ascii="Times New Roman" w:hAnsi="Times New Roman" w:cs="Times New Roman"/>
        </w:rPr>
        <w:t xml:space="preserve"> total cumulative internally revenue collection including appropriation in aid (A-I-A) was </w:t>
      </w:r>
      <w:r w:rsidR="00914039">
        <w:rPr>
          <w:rFonts w:ascii="Times New Roman" w:hAnsi="Times New Roman" w:cs="Times New Roman"/>
        </w:rPr>
        <w:t>Kshs</w:t>
      </w:r>
      <w:r>
        <w:rPr>
          <w:rFonts w:ascii="Times New Roman" w:hAnsi="Times New Roman" w:cs="Times New Roman"/>
        </w:rPr>
        <w:t xml:space="preserve"> 769,316,964.00 </w:t>
      </w:r>
      <w:r w:rsidRPr="00372121">
        <w:rPr>
          <w:rFonts w:ascii="Times New Roman" w:hAnsi="Times New Roman" w:cs="Times New Roman"/>
        </w:rPr>
        <w:t>million</w:t>
      </w:r>
      <w:r>
        <w:rPr>
          <w:rFonts w:ascii="Times New Roman" w:hAnsi="Times New Roman" w:cs="Times New Roman"/>
        </w:rPr>
        <w:t xml:space="preserve"> </w:t>
      </w:r>
      <w:r w:rsidR="00B11091">
        <w:rPr>
          <w:rFonts w:ascii="Times New Roman" w:hAnsi="Times New Roman" w:cs="Times New Roman"/>
        </w:rPr>
        <w:t>(6.</w:t>
      </w:r>
      <w:r w:rsidR="004000F2">
        <w:rPr>
          <w:rFonts w:ascii="Times New Roman" w:hAnsi="Times New Roman" w:cs="Times New Roman"/>
        </w:rPr>
        <w:t>62</w:t>
      </w:r>
      <w:r>
        <w:rPr>
          <w:rFonts w:ascii="Times New Roman" w:hAnsi="Times New Roman" w:cs="Times New Roman"/>
        </w:rPr>
        <w:t xml:space="preserve"> </w:t>
      </w:r>
      <w:r w:rsidRPr="00372121">
        <w:rPr>
          <w:rFonts w:ascii="Times New Roman" w:hAnsi="Times New Roman" w:cs="Times New Roman"/>
        </w:rPr>
        <w:t>percent</w:t>
      </w:r>
      <w:r w:rsidR="000D7D1A">
        <w:rPr>
          <w:rFonts w:ascii="Times New Roman" w:hAnsi="Times New Roman" w:cs="Times New Roman"/>
        </w:rPr>
        <w:t xml:space="preserve"> </w:t>
      </w:r>
      <w:r w:rsidRPr="00372121">
        <w:rPr>
          <w:rFonts w:ascii="Times New Roman" w:hAnsi="Times New Roman" w:cs="Times New Roman"/>
        </w:rPr>
        <w:t xml:space="preserve">of total revenue) which is </w:t>
      </w:r>
      <w:r w:rsidR="00B11091">
        <w:rPr>
          <w:rFonts w:ascii="Times New Roman" w:hAnsi="Times New Roman" w:cs="Times New Roman"/>
        </w:rPr>
        <w:t xml:space="preserve">Kshs </w:t>
      </w:r>
      <w:r w:rsidR="004000F2" w:rsidRPr="004000F2">
        <w:rPr>
          <w:rFonts w:ascii="Times New Roman" w:hAnsi="Times New Roman" w:cs="Times New Roman"/>
        </w:rPr>
        <w:t>11,621,023,711</w:t>
      </w:r>
      <w:r w:rsidR="00B11091" w:rsidRPr="00372121">
        <w:rPr>
          <w:rFonts w:ascii="Times New Roman" w:hAnsi="Times New Roman" w:cs="Times New Roman"/>
        </w:rPr>
        <w:t>billion</w:t>
      </w:r>
      <w:r>
        <w:rPr>
          <w:rFonts w:ascii="Times New Roman" w:hAnsi="Times New Roman" w:cs="Times New Roman"/>
        </w:rPr>
        <w:t xml:space="preserve"> below the target of </w:t>
      </w:r>
      <w:r w:rsidR="00914039">
        <w:rPr>
          <w:rFonts w:ascii="Times New Roman" w:hAnsi="Times New Roman" w:cs="Times New Roman"/>
        </w:rPr>
        <w:t>Kshs</w:t>
      </w:r>
      <w:r w:rsidRPr="00A01D77">
        <w:rPr>
          <w:rFonts w:ascii="Times New Roman" w:hAnsi="Times New Roman" w:cs="Times New Roman"/>
        </w:rPr>
        <w:t xml:space="preserve"> 12,556,097,825.03</w:t>
      </w:r>
      <w:r w:rsidR="00742EB1">
        <w:rPr>
          <w:rFonts w:ascii="Times New Roman" w:hAnsi="Times New Roman" w:cs="Times New Roman"/>
        </w:rPr>
        <w:t xml:space="preserve"> </w:t>
      </w:r>
      <w:r w:rsidRPr="00372121">
        <w:rPr>
          <w:rFonts w:ascii="Times New Roman" w:hAnsi="Times New Roman" w:cs="Times New Roman"/>
        </w:rPr>
        <w:t>billion. The shortfall was mainly attr</w:t>
      </w:r>
      <w:r w:rsidR="00580A88">
        <w:rPr>
          <w:rFonts w:ascii="Times New Roman" w:hAnsi="Times New Roman" w:cs="Times New Roman"/>
        </w:rPr>
        <w:t xml:space="preserve">ibutable to underperformance in </w:t>
      </w:r>
      <w:r w:rsidR="00580A88" w:rsidRPr="00372121">
        <w:rPr>
          <w:rFonts w:ascii="Times New Roman" w:hAnsi="Times New Roman" w:cs="Times New Roman"/>
        </w:rPr>
        <w:t xml:space="preserve">both </w:t>
      </w:r>
      <w:r w:rsidR="00580A88">
        <w:rPr>
          <w:rFonts w:ascii="Times New Roman" w:hAnsi="Times New Roman" w:cs="Times New Roman"/>
        </w:rPr>
        <w:t>revenue</w:t>
      </w:r>
      <w:r w:rsidR="004000F2">
        <w:rPr>
          <w:rFonts w:ascii="Times New Roman" w:hAnsi="Times New Roman" w:cs="Times New Roman"/>
        </w:rPr>
        <w:t xml:space="preserve"> from conditional grants and</w:t>
      </w:r>
      <w:r w:rsidR="00580A88">
        <w:rPr>
          <w:rFonts w:ascii="Times New Roman" w:hAnsi="Times New Roman" w:cs="Times New Roman"/>
        </w:rPr>
        <w:t xml:space="preserve"> local</w:t>
      </w:r>
      <w:r w:rsidR="007959D5">
        <w:rPr>
          <w:rFonts w:ascii="Times New Roman" w:hAnsi="Times New Roman" w:cs="Times New Roman"/>
        </w:rPr>
        <w:t xml:space="preserve"> </w:t>
      </w:r>
      <w:r w:rsidR="00580A88">
        <w:rPr>
          <w:rFonts w:ascii="Times New Roman" w:hAnsi="Times New Roman" w:cs="Times New Roman"/>
        </w:rPr>
        <w:t xml:space="preserve">sources </w:t>
      </w:r>
      <w:r w:rsidR="00580A88" w:rsidRPr="00372121">
        <w:rPr>
          <w:rFonts w:ascii="Times New Roman" w:hAnsi="Times New Roman" w:cs="Times New Roman"/>
        </w:rPr>
        <w:t>by</w:t>
      </w:r>
      <w:r w:rsidRPr="00372121">
        <w:rPr>
          <w:rFonts w:ascii="Times New Roman" w:hAnsi="Times New Roman" w:cs="Times New Roman"/>
        </w:rPr>
        <w:t xml:space="preserve"> </w:t>
      </w:r>
      <w:r w:rsidR="00914039">
        <w:rPr>
          <w:rFonts w:ascii="Times New Roman" w:hAnsi="Times New Roman" w:cs="Times New Roman"/>
        </w:rPr>
        <w:t>Kshs</w:t>
      </w:r>
      <w:r>
        <w:rPr>
          <w:rFonts w:ascii="Times New Roman" w:hAnsi="Times New Roman" w:cs="Times New Roman"/>
        </w:rPr>
        <w:t xml:space="preserve"> 527.</w:t>
      </w:r>
      <w:r w:rsidRPr="00A01D77">
        <w:rPr>
          <w:rFonts w:ascii="Times New Roman" w:hAnsi="Times New Roman" w:cs="Times New Roman"/>
        </w:rPr>
        <w:t>265</w:t>
      </w:r>
      <w:r w:rsidRPr="00372121">
        <w:rPr>
          <w:rFonts w:ascii="Times New Roman" w:hAnsi="Times New Roman" w:cs="Times New Roman"/>
        </w:rPr>
        <w:t xml:space="preserve"> million and </w:t>
      </w:r>
      <w:r w:rsidR="00914039">
        <w:rPr>
          <w:rFonts w:ascii="Times New Roman" w:hAnsi="Times New Roman" w:cs="Times New Roman"/>
        </w:rPr>
        <w:t>Kshs</w:t>
      </w:r>
      <w:r w:rsidR="004000F2">
        <w:rPr>
          <w:rFonts w:ascii="Times New Roman" w:hAnsi="Times New Roman" w:cs="Times New Roman"/>
        </w:rPr>
        <w:t>. 475.594</w:t>
      </w:r>
      <w:r>
        <w:rPr>
          <w:rFonts w:ascii="Times New Roman" w:hAnsi="Times New Roman" w:cs="Times New Roman"/>
        </w:rPr>
        <w:t xml:space="preserve"> </w:t>
      </w:r>
      <w:r w:rsidRPr="00372121">
        <w:rPr>
          <w:rFonts w:ascii="Times New Roman" w:hAnsi="Times New Roman" w:cs="Times New Roman"/>
        </w:rPr>
        <w:t xml:space="preserve">million, respectively. </w:t>
      </w:r>
    </w:p>
    <w:p w14:paraId="45B446AA" w14:textId="77777777" w:rsidR="005B4D06" w:rsidRPr="00372121" w:rsidRDefault="005B4D06" w:rsidP="005B4D06">
      <w:pPr>
        <w:autoSpaceDE w:val="0"/>
        <w:autoSpaceDN w:val="0"/>
        <w:adjustRightInd w:val="0"/>
        <w:spacing w:after="0" w:line="360" w:lineRule="auto"/>
        <w:jc w:val="both"/>
        <w:rPr>
          <w:rFonts w:ascii="Times New Roman" w:hAnsi="Times New Roman" w:cs="Times New Roman"/>
          <w:color w:val="000000"/>
          <w:sz w:val="24"/>
          <w:szCs w:val="24"/>
        </w:rPr>
      </w:pPr>
    </w:p>
    <w:p w14:paraId="58FD3BF7" w14:textId="6B5CAF77" w:rsidR="005B4D06" w:rsidRPr="00497264" w:rsidRDefault="0077467D" w:rsidP="005B4D06">
      <w:pPr>
        <w:autoSpaceDE w:val="0"/>
        <w:autoSpaceDN w:val="0"/>
        <w:adjustRightInd w:val="0"/>
        <w:spacing w:after="0" w:line="360" w:lineRule="auto"/>
        <w:jc w:val="both"/>
        <w:rPr>
          <w:rFonts w:ascii="Times New Roman" w:hAnsi="Times New Roman" w:cs="Times New Roman"/>
          <w:color w:val="000000" w:themeColor="text1"/>
          <w:sz w:val="24"/>
          <w:szCs w:val="24"/>
        </w:rPr>
      </w:pPr>
      <w:r w:rsidRPr="0077467D">
        <w:rPr>
          <w:rFonts w:ascii="Times New Roman" w:hAnsi="Times New Roman" w:cs="Times New Roman"/>
          <w:color w:val="000000" w:themeColor="text1"/>
          <w:sz w:val="24"/>
          <w:szCs w:val="24"/>
        </w:rPr>
        <w:t>Underperformance was recorded in almost all revenue streams</w:t>
      </w:r>
      <w:r>
        <w:rPr>
          <w:rFonts w:ascii="Times New Roman" w:hAnsi="Times New Roman" w:cs="Times New Roman"/>
          <w:color w:val="000000" w:themeColor="text1"/>
          <w:sz w:val="24"/>
          <w:szCs w:val="24"/>
        </w:rPr>
        <w:t xml:space="preserve"> with the highest shortfall in Land rates, market fees, cess, single business permit among others.</w:t>
      </w:r>
      <w:r w:rsidR="00895D31" w:rsidRPr="00895D31">
        <w:rPr>
          <w:rFonts w:ascii="Times New Roman" w:hAnsi="Times New Roman" w:cs="Times New Roman"/>
          <w:color w:val="000000" w:themeColor="text1"/>
          <w:sz w:val="24"/>
          <w:szCs w:val="24"/>
        </w:rPr>
        <w:t xml:space="preserve"> </w:t>
      </w:r>
      <w:r w:rsidR="00895D31">
        <w:rPr>
          <w:rFonts w:ascii="Times New Roman" w:hAnsi="Times New Roman" w:cs="Times New Roman"/>
          <w:color w:val="000000" w:themeColor="text1"/>
          <w:sz w:val="24"/>
          <w:szCs w:val="24"/>
        </w:rPr>
        <w:t>Context to the above, land rates shortfall was caused by lack of an updated valuation roll and non-payment of respective arrears by plot owners.</w:t>
      </w:r>
      <w:r w:rsidR="00497264">
        <w:rPr>
          <w:rFonts w:ascii="Times New Roman" w:hAnsi="Times New Roman" w:cs="Times New Roman"/>
          <w:color w:val="000000" w:themeColor="text1"/>
          <w:sz w:val="24"/>
          <w:szCs w:val="24"/>
        </w:rPr>
        <w:t xml:space="preserve"> </w:t>
      </w:r>
      <w:r w:rsidR="005B4D06">
        <w:rPr>
          <w:rFonts w:ascii="Times New Roman" w:hAnsi="Times New Roman" w:cs="Times New Roman"/>
          <w:color w:val="000000"/>
          <w:sz w:val="24"/>
          <w:szCs w:val="24"/>
        </w:rPr>
        <w:t xml:space="preserve">The </w:t>
      </w:r>
      <w:r w:rsidR="008F43B5">
        <w:rPr>
          <w:rFonts w:ascii="Times New Roman" w:hAnsi="Times New Roman" w:cs="Times New Roman"/>
          <w:color w:val="000000"/>
          <w:sz w:val="24"/>
          <w:szCs w:val="24"/>
        </w:rPr>
        <w:t>shortfall in</w:t>
      </w:r>
      <w:r w:rsidR="008177D3">
        <w:rPr>
          <w:rFonts w:ascii="Times New Roman" w:hAnsi="Times New Roman" w:cs="Times New Roman"/>
          <w:color w:val="000000"/>
          <w:sz w:val="24"/>
          <w:szCs w:val="24"/>
        </w:rPr>
        <w:t xml:space="preserve"> grants was</w:t>
      </w:r>
      <w:r w:rsidR="005B4D06" w:rsidRPr="00372121">
        <w:rPr>
          <w:rFonts w:ascii="Times New Roman" w:hAnsi="Times New Roman" w:cs="Times New Roman"/>
          <w:color w:val="000000"/>
          <w:sz w:val="24"/>
          <w:szCs w:val="24"/>
        </w:rPr>
        <w:t xml:space="preserve"> due to delay in disbursement of funds by the national treasury. However, the amounts are expected to be released during the current FY 2019/20 and hence will be included in the supplementary budget.</w:t>
      </w:r>
    </w:p>
    <w:p w14:paraId="05F24A07" w14:textId="77777777" w:rsidR="005B4D06" w:rsidRPr="00372121" w:rsidRDefault="005B4D06" w:rsidP="005B4D06">
      <w:pPr>
        <w:autoSpaceDE w:val="0"/>
        <w:autoSpaceDN w:val="0"/>
        <w:adjustRightInd w:val="0"/>
        <w:spacing w:after="0" w:line="360" w:lineRule="auto"/>
        <w:jc w:val="both"/>
        <w:rPr>
          <w:rFonts w:ascii="Times New Roman" w:hAnsi="Times New Roman" w:cs="Times New Roman"/>
          <w:color w:val="000000"/>
          <w:sz w:val="24"/>
          <w:szCs w:val="24"/>
        </w:rPr>
      </w:pPr>
    </w:p>
    <w:p w14:paraId="3B0E931C" w14:textId="62D89E53" w:rsidR="005B4D06" w:rsidRPr="00372121" w:rsidRDefault="005B4D06" w:rsidP="00E91471">
      <w:pPr>
        <w:autoSpaceDE w:val="0"/>
        <w:autoSpaceDN w:val="0"/>
        <w:adjustRightInd w:val="0"/>
        <w:spacing w:after="0" w:line="360" w:lineRule="auto"/>
        <w:jc w:val="both"/>
        <w:rPr>
          <w:rFonts w:ascii="Times New Roman" w:hAnsi="Times New Roman" w:cs="Times New Roman"/>
          <w:color w:val="000000"/>
          <w:sz w:val="24"/>
          <w:szCs w:val="24"/>
        </w:rPr>
      </w:pPr>
      <w:r w:rsidRPr="00372121">
        <w:rPr>
          <w:rFonts w:ascii="Times New Roman" w:hAnsi="Times New Roman" w:cs="Times New Roman"/>
          <w:color w:val="000000"/>
          <w:sz w:val="24"/>
          <w:szCs w:val="24"/>
        </w:rPr>
        <w:t xml:space="preserve">Total expenditures </w:t>
      </w:r>
      <w:r w:rsidR="000D7D1A">
        <w:rPr>
          <w:rFonts w:ascii="Times New Roman" w:hAnsi="Times New Roman" w:cs="Times New Roman"/>
          <w:color w:val="000000"/>
          <w:sz w:val="24"/>
          <w:szCs w:val="24"/>
        </w:rPr>
        <w:t xml:space="preserve">at the </w:t>
      </w:r>
      <w:r w:rsidRPr="00372121">
        <w:rPr>
          <w:rFonts w:ascii="Times New Roman" w:hAnsi="Times New Roman" w:cs="Times New Roman"/>
          <w:color w:val="000000"/>
          <w:sz w:val="24"/>
          <w:szCs w:val="24"/>
        </w:rPr>
        <w:t xml:space="preserve">end of June 2019 amounted to </w:t>
      </w:r>
      <w:r w:rsidR="00914039">
        <w:rPr>
          <w:rFonts w:ascii="Times New Roman" w:hAnsi="Times New Roman" w:cs="Times New Roman"/>
          <w:color w:val="000000"/>
          <w:sz w:val="24"/>
          <w:szCs w:val="24"/>
        </w:rPr>
        <w:t>Kshs</w:t>
      </w:r>
      <w:r>
        <w:rPr>
          <w:rFonts w:ascii="Times New Roman" w:hAnsi="Times New Roman" w:cs="Times New Roman"/>
          <w:color w:val="000000"/>
          <w:sz w:val="24"/>
          <w:szCs w:val="24"/>
        </w:rPr>
        <w:t>.</w:t>
      </w:r>
      <w:r w:rsidR="001540E7" w:rsidRPr="001540E7">
        <w:rPr>
          <w:rFonts w:ascii="Times New Roman" w:hAnsi="Times New Roman" w:cs="Times New Roman"/>
          <w:color w:val="000000"/>
          <w:sz w:val="24"/>
          <w:szCs w:val="24"/>
        </w:rPr>
        <w:t xml:space="preserve">10, 692,330,111.72 </w:t>
      </w:r>
      <w:r w:rsidR="000E3ED0">
        <w:rPr>
          <w:rFonts w:ascii="Times New Roman" w:hAnsi="Times New Roman" w:cs="Times New Roman"/>
          <w:color w:val="000000"/>
          <w:sz w:val="24"/>
          <w:szCs w:val="24"/>
        </w:rPr>
        <w:t>billion against the budget</w:t>
      </w:r>
      <w:r w:rsidRPr="00372121">
        <w:rPr>
          <w:rFonts w:ascii="Times New Roman" w:hAnsi="Times New Roman" w:cs="Times New Roman"/>
          <w:color w:val="000000"/>
          <w:sz w:val="24"/>
          <w:szCs w:val="24"/>
        </w:rPr>
        <w:t xml:space="preserve"> of </w:t>
      </w:r>
      <w:r w:rsidR="00914039">
        <w:rPr>
          <w:rFonts w:ascii="Times New Roman" w:hAnsi="Times New Roman" w:cs="Times New Roman"/>
          <w:color w:val="000000"/>
          <w:sz w:val="24"/>
          <w:szCs w:val="24"/>
        </w:rPr>
        <w:t>Kshs</w:t>
      </w:r>
      <w:r>
        <w:rPr>
          <w:rFonts w:ascii="Times New Roman" w:hAnsi="Times New Roman" w:cs="Times New Roman"/>
          <w:color w:val="000000"/>
          <w:sz w:val="24"/>
          <w:szCs w:val="24"/>
        </w:rPr>
        <w:t>.</w:t>
      </w:r>
      <w:r w:rsidRPr="00A01D77">
        <w:rPr>
          <w:rFonts w:ascii="Times New Roman" w:hAnsi="Times New Roman" w:cs="Times New Roman"/>
          <w:color w:val="000000"/>
          <w:sz w:val="24"/>
          <w:szCs w:val="24"/>
        </w:rPr>
        <w:t xml:space="preserve"> 12,556,097,825.03 </w:t>
      </w:r>
      <w:r w:rsidR="004F76DC">
        <w:rPr>
          <w:rFonts w:ascii="Times New Roman" w:hAnsi="Times New Roman" w:cs="Times New Roman"/>
          <w:color w:val="000000"/>
          <w:sz w:val="24"/>
          <w:szCs w:val="24"/>
        </w:rPr>
        <w:t>billion, translating into an absorbed budget</w:t>
      </w:r>
      <w:r w:rsidRPr="00372121">
        <w:rPr>
          <w:rFonts w:ascii="Times New Roman" w:hAnsi="Times New Roman" w:cs="Times New Roman"/>
          <w:color w:val="000000"/>
          <w:sz w:val="24"/>
          <w:szCs w:val="24"/>
        </w:rPr>
        <w:t xml:space="preserve"> of </w:t>
      </w:r>
      <w:r w:rsidR="00914039">
        <w:rPr>
          <w:rFonts w:ascii="Times New Roman" w:hAnsi="Times New Roman" w:cs="Times New Roman"/>
          <w:color w:val="000000"/>
          <w:sz w:val="24"/>
          <w:szCs w:val="24"/>
        </w:rPr>
        <w:t>Kshs</w:t>
      </w:r>
      <w:r>
        <w:rPr>
          <w:rFonts w:ascii="Times New Roman" w:hAnsi="Times New Roman" w:cs="Times New Roman"/>
          <w:color w:val="000000"/>
          <w:sz w:val="24"/>
          <w:szCs w:val="24"/>
        </w:rPr>
        <w:t>.</w:t>
      </w:r>
      <w:r w:rsidR="001540E7" w:rsidRPr="001540E7">
        <w:rPr>
          <w:rFonts w:ascii="Times New Roman" w:hAnsi="Times New Roman" w:cs="Times New Roman"/>
          <w:color w:val="000000"/>
          <w:sz w:val="24"/>
          <w:szCs w:val="24"/>
        </w:rPr>
        <w:t>1, 863,767,713.32</w:t>
      </w:r>
      <w:r w:rsidR="001540E7">
        <w:rPr>
          <w:rFonts w:ascii="Times New Roman" w:hAnsi="Times New Roman" w:cs="Times New Roman"/>
          <w:color w:val="000000"/>
          <w:sz w:val="24"/>
          <w:szCs w:val="24"/>
        </w:rPr>
        <w:t xml:space="preserve"> </w:t>
      </w:r>
      <w:r w:rsidR="004F76DC">
        <w:rPr>
          <w:rFonts w:ascii="Times New Roman" w:hAnsi="Times New Roman" w:cs="Times New Roman"/>
          <w:color w:val="000000"/>
          <w:sz w:val="24"/>
          <w:szCs w:val="24"/>
        </w:rPr>
        <w:t xml:space="preserve">billion. This </w:t>
      </w:r>
      <w:r w:rsidRPr="00372121">
        <w:rPr>
          <w:rFonts w:ascii="Times New Roman" w:hAnsi="Times New Roman" w:cs="Times New Roman"/>
          <w:color w:val="000000"/>
          <w:sz w:val="24"/>
          <w:szCs w:val="24"/>
        </w:rPr>
        <w:t xml:space="preserve">was occasioned by local revenue underperformance and </w:t>
      </w:r>
      <w:r w:rsidR="004A5BC7">
        <w:rPr>
          <w:rFonts w:ascii="Times New Roman" w:hAnsi="Times New Roman" w:cs="Times New Roman"/>
          <w:color w:val="000000"/>
          <w:sz w:val="24"/>
          <w:szCs w:val="24"/>
        </w:rPr>
        <w:t xml:space="preserve">un </w:t>
      </w:r>
      <w:r w:rsidR="00E91471">
        <w:rPr>
          <w:rFonts w:ascii="Times New Roman" w:hAnsi="Times New Roman" w:cs="Times New Roman"/>
          <w:color w:val="000000"/>
          <w:sz w:val="24"/>
          <w:szCs w:val="24"/>
        </w:rPr>
        <w:t>abso</w:t>
      </w:r>
      <w:r w:rsidR="004A5BC7">
        <w:rPr>
          <w:rFonts w:ascii="Times New Roman" w:hAnsi="Times New Roman" w:cs="Times New Roman"/>
          <w:color w:val="000000"/>
          <w:sz w:val="24"/>
          <w:szCs w:val="24"/>
        </w:rPr>
        <w:t xml:space="preserve">rption </w:t>
      </w:r>
      <w:r w:rsidRPr="00372121">
        <w:rPr>
          <w:rFonts w:ascii="Times New Roman" w:hAnsi="Times New Roman" w:cs="Times New Roman"/>
          <w:color w:val="000000"/>
          <w:sz w:val="24"/>
          <w:szCs w:val="24"/>
        </w:rPr>
        <w:t>recorded in development expenditure</w:t>
      </w:r>
      <w:r w:rsidR="000D7D1A">
        <w:rPr>
          <w:rFonts w:ascii="Times New Roman" w:hAnsi="Times New Roman" w:cs="Times New Roman"/>
          <w:color w:val="000000"/>
          <w:sz w:val="24"/>
          <w:szCs w:val="24"/>
        </w:rPr>
        <w:t xml:space="preserve"> since works were on progress</w:t>
      </w:r>
      <w:r w:rsidRPr="00372121">
        <w:rPr>
          <w:rFonts w:ascii="Times New Roman" w:hAnsi="Times New Roman" w:cs="Times New Roman"/>
          <w:color w:val="000000"/>
          <w:sz w:val="24"/>
          <w:szCs w:val="24"/>
        </w:rPr>
        <w:t xml:space="preserve">. </w:t>
      </w:r>
    </w:p>
    <w:p w14:paraId="392E653A" w14:textId="77777777" w:rsidR="005B4D06" w:rsidRPr="00372121" w:rsidRDefault="005B4D06" w:rsidP="005B4D06">
      <w:pPr>
        <w:autoSpaceDE w:val="0"/>
        <w:autoSpaceDN w:val="0"/>
        <w:adjustRightInd w:val="0"/>
        <w:spacing w:after="0" w:line="360" w:lineRule="auto"/>
        <w:jc w:val="both"/>
        <w:rPr>
          <w:rFonts w:ascii="Times New Roman" w:hAnsi="Times New Roman" w:cs="Times New Roman"/>
          <w:color w:val="000000"/>
          <w:sz w:val="24"/>
          <w:szCs w:val="24"/>
        </w:rPr>
      </w:pPr>
    </w:p>
    <w:p w14:paraId="43EE238F" w14:textId="7D34B5EE" w:rsidR="005B4D06" w:rsidRPr="00372121" w:rsidRDefault="005B4D06" w:rsidP="005B4D06">
      <w:pPr>
        <w:pStyle w:val="Default"/>
        <w:spacing w:line="360" w:lineRule="auto"/>
        <w:jc w:val="both"/>
        <w:rPr>
          <w:rFonts w:ascii="Times New Roman" w:hAnsi="Times New Roman" w:cs="Times New Roman"/>
        </w:rPr>
      </w:pPr>
      <w:r w:rsidRPr="00372121">
        <w:rPr>
          <w:rFonts w:ascii="Times New Roman" w:hAnsi="Times New Roman" w:cs="Times New Roman"/>
        </w:rPr>
        <w:t>The fiscal outcome for the FY 2018/19 budget complied with the fiscal responsibility principles and financial objectives set out in the PFM Act, 2012. The County Gove</w:t>
      </w:r>
      <w:r w:rsidR="004A5BC7">
        <w:rPr>
          <w:rFonts w:ascii="Times New Roman" w:hAnsi="Times New Roman" w:cs="Times New Roman"/>
        </w:rPr>
        <w:t>rnment development budget</w:t>
      </w:r>
      <w:r w:rsidRPr="00372121">
        <w:rPr>
          <w:rFonts w:ascii="Times New Roman" w:hAnsi="Times New Roman" w:cs="Times New Roman"/>
        </w:rPr>
        <w:t xml:space="preserve"> was </w:t>
      </w:r>
      <w:r w:rsidR="00742EB1" w:rsidRPr="00372121">
        <w:rPr>
          <w:rFonts w:ascii="Times New Roman" w:hAnsi="Times New Roman" w:cs="Times New Roman"/>
        </w:rPr>
        <w:t>37.54</w:t>
      </w:r>
      <w:r w:rsidR="00742EB1">
        <w:rPr>
          <w:rFonts w:ascii="Times New Roman" w:hAnsi="Times New Roman" w:cs="Times New Roman"/>
        </w:rPr>
        <w:t>%</w:t>
      </w:r>
      <w:r w:rsidR="00742EB1" w:rsidRPr="00372121">
        <w:rPr>
          <w:rFonts w:ascii="Times New Roman" w:hAnsi="Times New Roman" w:cs="Times New Roman"/>
        </w:rPr>
        <w:t xml:space="preserve"> in</w:t>
      </w:r>
      <w:r w:rsidRPr="00372121">
        <w:rPr>
          <w:rFonts w:ascii="Times New Roman" w:hAnsi="Times New Roman" w:cs="Times New Roman"/>
        </w:rPr>
        <w:t xml:space="preserve"> line with the statutory benchmark of 30.0 percent. However, compensation to employees was </w:t>
      </w:r>
      <w:r w:rsidR="00362021">
        <w:rPr>
          <w:rFonts w:ascii="Times New Roman" w:hAnsi="Times New Roman" w:cs="Times New Roman"/>
        </w:rPr>
        <w:t>45.36%</w:t>
      </w:r>
      <w:r w:rsidR="00580A88">
        <w:rPr>
          <w:rFonts w:ascii="Times New Roman" w:hAnsi="Times New Roman" w:cs="Times New Roman"/>
        </w:rPr>
        <w:t xml:space="preserve"> </w:t>
      </w:r>
      <w:r w:rsidRPr="00372121">
        <w:rPr>
          <w:rFonts w:ascii="Times New Roman" w:hAnsi="Times New Roman" w:cs="Times New Roman"/>
        </w:rPr>
        <w:t xml:space="preserve">which is above the recommended rate of 35%.  The wage bill remains a major </w:t>
      </w:r>
      <w:r w:rsidR="009E5B0D" w:rsidRPr="00372121">
        <w:rPr>
          <w:rFonts w:ascii="Times New Roman" w:hAnsi="Times New Roman" w:cs="Times New Roman"/>
        </w:rPr>
        <w:t>challenge faced</w:t>
      </w:r>
      <w:r w:rsidRPr="00372121">
        <w:rPr>
          <w:rFonts w:ascii="Times New Roman" w:hAnsi="Times New Roman" w:cs="Times New Roman"/>
        </w:rPr>
        <w:t xml:space="preserve"> by</w:t>
      </w:r>
      <w:r w:rsidR="00362021">
        <w:rPr>
          <w:rFonts w:ascii="Times New Roman" w:hAnsi="Times New Roman" w:cs="Times New Roman"/>
        </w:rPr>
        <w:t xml:space="preserve"> the</w:t>
      </w:r>
      <w:r w:rsidR="00742EB1">
        <w:rPr>
          <w:rFonts w:ascii="Times New Roman" w:hAnsi="Times New Roman" w:cs="Times New Roman"/>
        </w:rPr>
        <w:t xml:space="preserve"> </w:t>
      </w:r>
      <w:r w:rsidR="00580A88">
        <w:rPr>
          <w:rFonts w:ascii="Times New Roman" w:hAnsi="Times New Roman" w:cs="Times New Roman"/>
        </w:rPr>
        <w:t>county government</w:t>
      </w:r>
      <w:r w:rsidRPr="00372121">
        <w:rPr>
          <w:rFonts w:ascii="Times New Roman" w:hAnsi="Times New Roman" w:cs="Times New Roman"/>
        </w:rPr>
        <w:t xml:space="preserve"> hence the need for concerted effort to find </w:t>
      </w:r>
      <w:r w:rsidR="008177D3">
        <w:rPr>
          <w:rFonts w:ascii="Times New Roman" w:hAnsi="Times New Roman" w:cs="Times New Roman"/>
        </w:rPr>
        <w:t xml:space="preserve">a </w:t>
      </w:r>
      <w:r w:rsidRPr="00372121">
        <w:rPr>
          <w:rFonts w:ascii="Times New Roman" w:hAnsi="Times New Roman" w:cs="Times New Roman"/>
        </w:rPr>
        <w:t xml:space="preserve">viable solution to keep the wage bill within the legal threshold. </w:t>
      </w:r>
    </w:p>
    <w:p w14:paraId="54B299D0" w14:textId="60F7E571" w:rsidR="004A0621" w:rsidRPr="00A8135F" w:rsidRDefault="00A8135F" w:rsidP="00A8135F">
      <w:pPr>
        <w:pStyle w:val="Heading2"/>
        <w:rPr>
          <w:rFonts w:ascii="Times New Roman" w:hAnsi="Times New Roman" w:cs="Times New Roman"/>
          <w:color w:val="auto"/>
          <w:sz w:val="24"/>
          <w:szCs w:val="24"/>
        </w:rPr>
      </w:pPr>
      <w:bookmarkStart w:id="56" w:name="_Toc23266825"/>
      <w:r>
        <w:rPr>
          <w:rFonts w:ascii="Times New Roman" w:hAnsi="Times New Roman" w:cs="Times New Roman"/>
          <w:color w:val="auto"/>
          <w:sz w:val="24"/>
          <w:szCs w:val="24"/>
        </w:rPr>
        <w:lastRenderedPageBreak/>
        <w:t xml:space="preserve">2.2 </w:t>
      </w:r>
      <w:r w:rsidR="004A0621" w:rsidRPr="00A8135F">
        <w:rPr>
          <w:rFonts w:ascii="Times New Roman" w:hAnsi="Times New Roman" w:cs="Times New Roman"/>
          <w:color w:val="auto"/>
          <w:sz w:val="24"/>
          <w:szCs w:val="24"/>
        </w:rPr>
        <w:t>Fiscal Performance</w:t>
      </w:r>
      <w:bookmarkEnd w:id="56"/>
    </w:p>
    <w:p w14:paraId="086B4C0A" w14:textId="77777777" w:rsidR="00F263D6" w:rsidRPr="00766EF1" w:rsidRDefault="00F263D6" w:rsidP="00F263D6">
      <w:pPr>
        <w:spacing w:before="10" w:after="158" w:line="278" w:lineRule="exact"/>
        <w:rPr>
          <w:rFonts w:ascii="Times New Roman" w:hAnsi="Times New Roman" w:cs="Times New Roman"/>
          <w:b/>
          <w:bCs/>
          <w:sz w:val="24"/>
          <w:szCs w:val="24"/>
        </w:rPr>
      </w:pPr>
      <w:r w:rsidRPr="00766EF1">
        <w:rPr>
          <w:rFonts w:ascii="Times New Roman" w:hAnsi="Times New Roman" w:cs="Times New Roman"/>
          <w:b/>
          <w:bCs/>
          <w:sz w:val="24"/>
          <w:szCs w:val="24"/>
        </w:rPr>
        <w:t>Table 2.1: Summary of County Fiscal Performance</w:t>
      </w:r>
    </w:p>
    <w:tbl>
      <w:tblPr>
        <w:tblW w:w="5000" w:type="pct"/>
        <w:tblLook w:val="04A0" w:firstRow="1" w:lastRow="0" w:firstColumn="1" w:lastColumn="0" w:noHBand="0" w:noVBand="1"/>
      </w:tblPr>
      <w:tblGrid>
        <w:gridCol w:w="1851"/>
        <w:gridCol w:w="1341"/>
        <w:gridCol w:w="1566"/>
        <w:gridCol w:w="1566"/>
        <w:gridCol w:w="1596"/>
        <w:gridCol w:w="1087"/>
      </w:tblGrid>
      <w:tr w:rsidR="001540E7" w:rsidRPr="001540E7" w14:paraId="32D6A4EA" w14:textId="77777777" w:rsidTr="001540E7">
        <w:trPr>
          <w:trHeight w:val="270"/>
        </w:trPr>
        <w:tc>
          <w:tcPr>
            <w:tcW w:w="1320" w:type="pct"/>
            <w:tcBorders>
              <w:top w:val="single" w:sz="8" w:space="0" w:color="auto"/>
              <w:left w:val="single" w:sz="8" w:space="0" w:color="auto"/>
              <w:bottom w:val="single" w:sz="8" w:space="0" w:color="auto"/>
              <w:right w:val="nil"/>
            </w:tcBorders>
            <w:shd w:val="clear" w:color="auto" w:fill="auto"/>
            <w:noWrap/>
            <w:vAlign w:val="bottom"/>
            <w:hideMark/>
          </w:tcPr>
          <w:p w14:paraId="436F7AA4" w14:textId="77777777" w:rsidR="001540E7" w:rsidRPr="001540E7" w:rsidRDefault="001540E7" w:rsidP="001540E7">
            <w:pPr>
              <w:spacing w:after="0" w:line="240" w:lineRule="auto"/>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Table 2.1</w:t>
            </w:r>
          </w:p>
        </w:tc>
        <w:tc>
          <w:tcPr>
            <w:tcW w:w="2337" w:type="pct"/>
            <w:gridSpan w:val="3"/>
            <w:tcBorders>
              <w:top w:val="single" w:sz="8" w:space="0" w:color="auto"/>
              <w:left w:val="nil"/>
              <w:bottom w:val="single" w:sz="8" w:space="0" w:color="auto"/>
              <w:right w:val="nil"/>
            </w:tcBorders>
            <w:shd w:val="clear" w:color="auto" w:fill="auto"/>
            <w:noWrap/>
            <w:vAlign w:val="bottom"/>
            <w:hideMark/>
          </w:tcPr>
          <w:p w14:paraId="26C0B527" w14:textId="77777777" w:rsidR="001540E7" w:rsidRPr="001540E7" w:rsidRDefault="001540E7" w:rsidP="001540E7">
            <w:pPr>
              <w:spacing w:after="0" w:line="240" w:lineRule="auto"/>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Summary of County Fiscal Performance</w:t>
            </w:r>
          </w:p>
        </w:tc>
        <w:tc>
          <w:tcPr>
            <w:tcW w:w="826" w:type="pct"/>
            <w:tcBorders>
              <w:top w:val="single" w:sz="8" w:space="0" w:color="auto"/>
              <w:left w:val="nil"/>
              <w:bottom w:val="single" w:sz="8" w:space="0" w:color="auto"/>
              <w:right w:val="nil"/>
            </w:tcBorders>
            <w:shd w:val="clear" w:color="auto" w:fill="auto"/>
            <w:noWrap/>
            <w:vAlign w:val="bottom"/>
            <w:hideMark/>
          </w:tcPr>
          <w:p w14:paraId="49F26F43" w14:textId="77777777" w:rsidR="001540E7" w:rsidRPr="001540E7" w:rsidRDefault="001540E7" w:rsidP="001540E7">
            <w:pPr>
              <w:spacing w:after="0" w:line="240" w:lineRule="auto"/>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w:t>
            </w:r>
          </w:p>
        </w:tc>
        <w:tc>
          <w:tcPr>
            <w:tcW w:w="516" w:type="pct"/>
            <w:tcBorders>
              <w:top w:val="single" w:sz="8" w:space="0" w:color="auto"/>
              <w:left w:val="nil"/>
              <w:bottom w:val="single" w:sz="8" w:space="0" w:color="auto"/>
              <w:right w:val="single" w:sz="8" w:space="0" w:color="auto"/>
            </w:tcBorders>
            <w:shd w:val="clear" w:color="auto" w:fill="auto"/>
            <w:noWrap/>
            <w:vAlign w:val="bottom"/>
            <w:hideMark/>
          </w:tcPr>
          <w:p w14:paraId="74A32BDD" w14:textId="77777777" w:rsidR="001540E7" w:rsidRPr="001540E7" w:rsidRDefault="001540E7" w:rsidP="001540E7">
            <w:pPr>
              <w:spacing w:after="0" w:line="240" w:lineRule="auto"/>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w:t>
            </w:r>
          </w:p>
        </w:tc>
      </w:tr>
      <w:tr w:rsidR="001540E7" w:rsidRPr="001540E7" w14:paraId="408229B3" w14:textId="77777777" w:rsidTr="001540E7">
        <w:trPr>
          <w:trHeight w:val="270"/>
        </w:trPr>
        <w:tc>
          <w:tcPr>
            <w:tcW w:w="1320" w:type="pct"/>
            <w:tcBorders>
              <w:top w:val="nil"/>
              <w:left w:val="single" w:sz="8" w:space="0" w:color="auto"/>
              <w:bottom w:val="single" w:sz="4" w:space="0" w:color="auto"/>
              <w:right w:val="nil"/>
            </w:tcBorders>
            <w:shd w:val="clear" w:color="auto" w:fill="auto"/>
            <w:vAlign w:val="center"/>
            <w:hideMark/>
          </w:tcPr>
          <w:p w14:paraId="6F816093" w14:textId="77777777" w:rsidR="001540E7" w:rsidRPr="001540E7" w:rsidRDefault="001540E7" w:rsidP="001540E7">
            <w:pPr>
              <w:spacing w:after="0" w:line="240" w:lineRule="auto"/>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w:t>
            </w:r>
          </w:p>
        </w:tc>
        <w:tc>
          <w:tcPr>
            <w:tcW w:w="684" w:type="pct"/>
            <w:tcBorders>
              <w:top w:val="nil"/>
              <w:left w:val="single" w:sz="8" w:space="0" w:color="auto"/>
              <w:bottom w:val="single" w:sz="4" w:space="0" w:color="auto"/>
              <w:right w:val="single" w:sz="8" w:space="0" w:color="auto"/>
            </w:tcBorders>
            <w:shd w:val="clear" w:color="auto" w:fill="auto"/>
            <w:vAlign w:val="center"/>
            <w:hideMark/>
          </w:tcPr>
          <w:p w14:paraId="5162D0C0" w14:textId="77777777" w:rsidR="001540E7" w:rsidRPr="001540E7" w:rsidRDefault="001540E7" w:rsidP="001540E7">
            <w:pPr>
              <w:spacing w:after="0" w:line="240" w:lineRule="auto"/>
              <w:jc w:val="center"/>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2017/18 FY</w:t>
            </w:r>
          </w:p>
        </w:tc>
        <w:tc>
          <w:tcPr>
            <w:tcW w:w="1653" w:type="pct"/>
            <w:gridSpan w:val="2"/>
            <w:tcBorders>
              <w:top w:val="nil"/>
              <w:left w:val="nil"/>
              <w:bottom w:val="nil"/>
              <w:right w:val="single" w:sz="4" w:space="0" w:color="000000"/>
            </w:tcBorders>
            <w:shd w:val="clear" w:color="auto" w:fill="auto"/>
            <w:vAlign w:val="center"/>
            <w:hideMark/>
          </w:tcPr>
          <w:p w14:paraId="56EF3E6C" w14:textId="77777777" w:rsidR="001540E7" w:rsidRPr="001540E7" w:rsidRDefault="001540E7" w:rsidP="001540E7">
            <w:pPr>
              <w:spacing w:after="0" w:line="240" w:lineRule="auto"/>
              <w:jc w:val="center"/>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2018/19 FY</w:t>
            </w:r>
          </w:p>
        </w:tc>
        <w:tc>
          <w:tcPr>
            <w:tcW w:w="826" w:type="pct"/>
            <w:tcBorders>
              <w:top w:val="nil"/>
              <w:left w:val="nil"/>
              <w:bottom w:val="nil"/>
              <w:right w:val="single" w:sz="4" w:space="0" w:color="auto"/>
            </w:tcBorders>
            <w:shd w:val="clear" w:color="auto" w:fill="auto"/>
            <w:vAlign w:val="center"/>
            <w:hideMark/>
          </w:tcPr>
          <w:p w14:paraId="333AABEC" w14:textId="77777777" w:rsidR="001540E7" w:rsidRPr="001540E7" w:rsidRDefault="001540E7" w:rsidP="001540E7">
            <w:pPr>
              <w:spacing w:after="0" w:line="240" w:lineRule="auto"/>
              <w:jc w:val="center"/>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516" w:type="pct"/>
            <w:tcBorders>
              <w:top w:val="nil"/>
              <w:left w:val="nil"/>
              <w:bottom w:val="nil"/>
              <w:right w:val="single" w:sz="8" w:space="0" w:color="auto"/>
            </w:tcBorders>
            <w:shd w:val="clear" w:color="auto" w:fill="auto"/>
            <w:vAlign w:val="center"/>
            <w:hideMark/>
          </w:tcPr>
          <w:p w14:paraId="6CE24BC8" w14:textId="77777777" w:rsidR="001540E7" w:rsidRPr="001540E7" w:rsidRDefault="001540E7" w:rsidP="001540E7">
            <w:pPr>
              <w:spacing w:after="0" w:line="240" w:lineRule="auto"/>
              <w:jc w:val="center"/>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r>
      <w:tr w:rsidR="001540E7" w:rsidRPr="001540E7" w14:paraId="1348FBFD" w14:textId="77777777" w:rsidTr="001540E7">
        <w:trPr>
          <w:trHeight w:val="765"/>
        </w:trPr>
        <w:tc>
          <w:tcPr>
            <w:tcW w:w="1320" w:type="pct"/>
            <w:tcBorders>
              <w:top w:val="nil"/>
              <w:left w:val="single" w:sz="8" w:space="0" w:color="auto"/>
              <w:bottom w:val="single" w:sz="4" w:space="0" w:color="auto"/>
              <w:right w:val="nil"/>
            </w:tcBorders>
            <w:shd w:val="clear" w:color="auto" w:fill="auto"/>
            <w:vAlign w:val="center"/>
            <w:hideMark/>
          </w:tcPr>
          <w:p w14:paraId="5C867D09" w14:textId="77777777" w:rsidR="001540E7" w:rsidRPr="001540E7" w:rsidRDefault="001540E7" w:rsidP="001540E7">
            <w:pPr>
              <w:spacing w:after="0" w:line="240" w:lineRule="auto"/>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w:t>
            </w:r>
          </w:p>
        </w:tc>
        <w:tc>
          <w:tcPr>
            <w:tcW w:w="684" w:type="pct"/>
            <w:tcBorders>
              <w:top w:val="nil"/>
              <w:left w:val="single" w:sz="8" w:space="0" w:color="auto"/>
              <w:bottom w:val="single" w:sz="4" w:space="0" w:color="auto"/>
              <w:right w:val="single" w:sz="8" w:space="0" w:color="auto"/>
            </w:tcBorders>
            <w:shd w:val="clear" w:color="auto" w:fill="auto"/>
            <w:vAlign w:val="center"/>
            <w:hideMark/>
          </w:tcPr>
          <w:p w14:paraId="2E77A746" w14:textId="77777777" w:rsidR="001540E7" w:rsidRPr="001540E7" w:rsidRDefault="001540E7" w:rsidP="001540E7">
            <w:pPr>
              <w:spacing w:after="0" w:line="240" w:lineRule="auto"/>
              <w:jc w:val="center"/>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Actual</w:t>
            </w:r>
          </w:p>
        </w:tc>
        <w:tc>
          <w:tcPr>
            <w:tcW w:w="826" w:type="pct"/>
            <w:tcBorders>
              <w:top w:val="single" w:sz="8" w:space="0" w:color="auto"/>
              <w:left w:val="nil"/>
              <w:bottom w:val="single" w:sz="4" w:space="0" w:color="auto"/>
              <w:right w:val="single" w:sz="8" w:space="0" w:color="auto"/>
            </w:tcBorders>
            <w:shd w:val="clear" w:color="auto" w:fill="auto"/>
            <w:vAlign w:val="center"/>
            <w:hideMark/>
          </w:tcPr>
          <w:p w14:paraId="3F58FC93" w14:textId="77777777" w:rsidR="001540E7" w:rsidRPr="001540E7" w:rsidRDefault="001540E7" w:rsidP="001540E7">
            <w:pPr>
              <w:spacing w:after="0" w:line="240" w:lineRule="auto"/>
              <w:jc w:val="center"/>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xml:space="preserve"> Approved </w:t>
            </w:r>
          </w:p>
        </w:tc>
        <w:tc>
          <w:tcPr>
            <w:tcW w:w="826" w:type="pct"/>
            <w:tcBorders>
              <w:top w:val="single" w:sz="8" w:space="0" w:color="auto"/>
              <w:left w:val="nil"/>
              <w:bottom w:val="single" w:sz="4" w:space="0" w:color="auto"/>
              <w:right w:val="single" w:sz="8" w:space="0" w:color="auto"/>
            </w:tcBorders>
            <w:shd w:val="clear" w:color="auto" w:fill="auto"/>
            <w:vAlign w:val="center"/>
            <w:hideMark/>
          </w:tcPr>
          <w:p w14:paraId="53DE6C91" w14:textId="77777777" w:rsidR="001540E7" w:rsidRPr="001540E7" w:rsidRDefault="001540E7" w:rsidP="001540E7">
            <w:pPr>
              <w:spacing w:after="0" w:line="240" w:lineRule="auto"/>
              <w:jc w:val="center"/>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xml:space="preserve"> Actual </w:t>
            </w:r>
          </w:p>
        </w:tc>
        <w:tc>
          <w:tcPr>
            <w:tcW w:w="826" w:type="pct"/>
            <w:tcBorders>
              <w:top w:val="single" w:sz="8" w:space="0" w:color="auto"/>
              <w:left w:val="nil"/>
              <w:bottom w:val="single" w:sz="4" w:space="0" w:color="auto"/>
              <w:right w:val="single" w:sz="8" w:space="0" w:color="auto"/>
            </w:tcBorders>
            <w:shd w:val="clear" w:color="auto" w:fill="auto"/>
            <w:vAlign w:val="center"/>
            <w:hideMark/>
          </w:tcPr>
          <w:p w14:paraId="16F7D65D" w14:textId="77777777" w:rsidR="001540E7" w:rsidRPr="001540E7" w:rsidRDefault="001540E7" w:rsidP="001540E7">
            <w:pPr>
              <w:spacing w:after="0" w:line="240" w:lineRule="auto"/>
              <w:jc w:val="center"/>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xml:space="preserve"> Deviation </w:t>
            </w:r>
          </w:p>
        </w:tc>
        <w:tc>
          <w:tcPr>
            <w:tcW w:w="516" w:type="pct"/>
            <w:tcBorders>
              <w:top w:val="single" w:sz="8" w:space="0" w:color="auto"/>
              <w:left w:val="nil"/>
              <w:bottom w:val="single" w:sz="4" w:space="0" w:color="auto"/>
              <w:right w:val="single" w:sz="8" w:space="0" w:color="auto"/>
            </w:tcBorders>
            <w:shd w:val="clear" w:color="auto" w:fill="auto"/>
            <w:vAlign w:val="center"/>
            <w:hideMark/>
          </w:tcPr>
          <w:p w14:paraId="3CE75F8A" w14:textId="77777777" w:rsidR="001540E7" w:rsidRPr="001540E7" w:rsidRDefault="001540E7" w:rsidP="001540E7">
            <w:pPr>
              <w:spacing w:after="0" w:line="240" w:lineRule="auto"/>
              <w:jc w:val="center"/>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Absorption</w:t>
            </w:r>
          </w:p>
        </w:tc>
      </w:tr>
      <w:tr w:rsidR="004A5BC7" w:rsidRPr="001540E7" w14:paraId="2F88A0CA" w14:textId="77777777" w:rsidTr="004A5BC7">
        <w:trPr>
          <w:trHeight w:val="250"/>
        </w:trPr>
        <w:tc>
          <w:tcPr>
            <w:tcW w:w="1320" w:type="pct"/>
            <w:tcBorders>
              <w:top w:val="nil"/>
              <w:left w:val="single" w:sz="8" w:space="0" w:color="auto"/>
              <w:bottom w:val="single" w:sz="4" w:space="0" w:color="auto"/>
              <w:right w:val="nil"/>
            </w:tcBorders>
            <w:shd w:val="clear" w:color="auto" w:fill="auto"/>
            <w:vAlign w:val="center"/>
          </w:tcPr>
          <w:p w14:paraId="1A23288F" w14:textId="77777777" w:rsidR="004A5BC7" w:rsidRPr="001540E7" w:rsidRDefault="004A5BC7" w:rsidP="001540E7">
            <w:pPr>
              <w:spacing w:after="0" w:line="240" w:lineRule="auto"/>
              <w:rPr>
                <w:rFonts w:ascii="Times New Roman" w:eastAsia="Times New Roman" w:hAnsi="Times New Roman" w:cs="Times New Roman"/>
                <w:color w:val="000000"/>
                <w:sz w:val="18"/>
                <w:szCs w:val="18"/>
              </w:rPr>
            </w:pPr>
          </w:p>
        </w:tc>
        <w:tc>
          <w:tcPr>
            <w:tcW w:w="684" w:type="pct"/>
            <w:tcBorders>
              <w:top w:val="nil"/>
              <w:left w:val="single" w:sz="8" w:space="0" w:color="auto"/>
              <w:bottom w:val="single" w:sz="4" w:space="0" w:color="auto"/>
              <w:right w:val="single" w:sz="8" w:space="0" w:color="auto"/>
            </w:tcBorders>
            <w:shd w:val="clear" w:color="auto" w:fill="auto"/>
            <w:vAlign w:val="center"/>
          </w:tcPr>
          <w:p w14:paraId="51D7A7ED" w14:textId="278D20CE" w:rsidR="004A5BC7" w:rsidRPr="001540E7" w:rsidRDefault="004A5BC7" w:rsidP="001540E7">
            <w:pPr>
              <w:spacing w:after="0" w:line="240" w:lineRule="auto"/>
              <w:jc w:val="center"/>
              <w:rPr>
                <w:rFonts w:ascii="Times New Roman" w:eastAsia="Times New Roman" w:hAnsi="Times New Roman" w:cs="Times New Roman"/>
                <w:b/>
                <w:bCs/>
                <w:color w:val="000000"/>
                <w:sz w:val="18"/>
                <w:szCs w:val="18"/>
              </w:rPr>
            </w:pPr>
            <w:r>
              <w:rPr>
                <w:rFonts w:ascii="Times New Roman" w:eastAsia="Times New Roman" w:hAnsi="Times New Roman" w:cs="Times New Roman"/>
                <w:b/>
                <w:bCs/>
                <w:color w:val="000000"/>
                <w:sz w:val="18"/>
                <w:szCs w:val="18"/>
              </w:rPr>
              <w:t>a</w:t>
            </w:r>
          </w:p>
        </w:tc>
        <w:tc>
          <w:tcPr>
            <w:tcW w:w="826" w:type="pct"/>
            <w:tcBorders>
              <w:top w:val="single" w:sz="8" w:space="0" w:color="auto"/>
              <w:left w:val="nil"/>
              <w:bottom w:val="single" w:sz="4" w:space="0" w:color="auto"/>
              <w:right w:val="single" w:sz="8" w:space="0" w:color="auto"/>
            </w:tcBorders>
            <w:shd w:val="clear" w:color="auto" w:fill="auto"/>
            <w:vAlign w:val="center"/>
          </w:tcPr>
          <w:p w14:paraId="59520EDB" w14:textId="3624750E" w:rsidR="004A5BC7" w:rsidRPr="001540E7" w:rsidRDefault="007249C9" w:rsidP="001540E7">
            <w:pPr>
              <w:spacing w:after="0" w:line="240" w:lineRule="auto"/>
              <w:jc w:val="center"/>
              <w:rPr>
                <w:rFonts w:ascii="Times New Roman" w:eastAsia="Times New Roman" w:hAnsi="Times New Roman" w:cs="Times New Roman"/>
                <w:b/>
                <w:bCs/>
                <w:color w:val="000000"/>
                <w:sz w:val="18"/>
                <w:szCs w:val="18"/>
              </w:rPr>
            </w:pPr>
            <w:r>
              <w:rPr>
                <w:rFonts w:ascii="Times New Roman" w:eastAsia="Times New Roman" w:hAnsi="Times New Roman" w:cs="Times New Roman"/>
                <w:b/>
                <w:bCs/>
                <w:color w:val="000000"/>
                <w:sz w:val="18"/>
                <w:szCs w:val="18"/>
              </w:rPr>
              <w:t>B</w:t>
            </w:r>
          </w:p>
        </w:tc>
        <w:tc>
          <w:tcPr>
            <w:tcW w:w="826" w:type="pct"/>
            <w:tcBorders>
              <w:top w:val="single" w:sz="8" w:space="0" w:color="auto"/>
              <w:left w:val="nil"/>
              <w:bottom w:val="single" w:sz="4" w:space="0" w:color="auto"/>
              <w:right w:val="single" w:sz="8" w:space="0" w:color="auto"/>
            </w:tcBorders>
            <w:shd w:val="clear" w:color="auto" w:fill="auto"/>
            <w:vAlign w:val="center"/>
          </w:tcPr>
          <w:p w14:paraId="3C10C6A5" w14:textId="10435606" w:rsidR="004A5BC7" w:rsidRPr="001540E7" w:rsidRDefault="004A5BC7" w:rsidP="001540E7">
            <w:pPr>
              <w:spacing w:after="0" w:line="240" w:lineRule="auto"/>
              <w:jc w:val="center"/>
              <w:rPr>
                <w:rFonts w:ascii="Times New Roman" w:eastAsia="Times New Roman" w:hAnsi="Times New Roman" w:cs="Times New Roman"/>
                <w:b/>
                <w:bCs/>
                <w:color w:val="000000"/>
                <w:sz w:val="18"/>
                <w:szCs w:val="18"/>
              </w:rPr>
            </w:pPr>
            <w:r>
              <w:rPr>
                <w:rFonts w:ascii="Times New Roman" w:eastAsia="Times New Roman" w:hAnsi="Times New Roman" w:cs="Times New Roman"/>
                <w:b/>
                <w:bCs/>
                <w:color w:val="000000"/>
                <w:sz w:val="18"/>
                <w:szCs w:val="18"/>
              </w:rPr>
              <w:t>c</w:t>
            </w:r>
          </w:p>
        </w:tc>
        <w:tc>
          <w:tcPr>
            <w:tcW w:w="826" w:type="pct"/>
            <w:tcBorders>
              <w:top w:val="single" w:sz="8" w:space="0" w:color="auto"/>
              <w:left w:val="nil"/>
              <w:bottom w:val="single" w:sz="4" w:space="0" w:color="auto"/>
              <w:right w:val="single" w:sz="8" w:space="0" w:color="auto"/>
            </w:tcBorders>
            <w:shd w:val="clear" w:color="auto" w:fill="auto"/>
            <w:vAlign w:val="center"/>
          </w:tcPr>
          <w:p w14:paraId="6AA16EAC" w14:textId="3FD5B0F8" w:rsidR="004A5BC7" w:rsidRPr="001540E7" w:rsidRDefault="004A5BC7" w:rsidP="001540E7">
            <w:pPr>
              <w:spacing w:after="0" w:line="240" w:lineRule="auto"/>
              <w:jc w:val="center"/>
              <w:rPr>
                <w:rFonts w:ascii="Times New Roman" w:eastAsia="Times New Roman" w:hAnsi="Times New Roman" w:cs="Times New Roman"/>
                <w:b/>
                <w:bCs/>
                <w:color w:val="000000"/>
                <w:sz w:val="18"/>
                <w:szCs w:val="18"/>
              </w:rPr>
            </w:pPr>
            <w:r>
              <w:rPr>
                <w:rFonts w:ascii="Times New Roman" w:eastAsia="Times New Roman" w:hAnsi="Times New Roman" w:cs="Times New Roman"/>
                <w:b/>
                <w:bCs/>
                <w:color w:val="000000"/>
                <w:sz w:val="18"/>
                <w:szCs w:val="18"/>
              </w:rPr>
              <w:t>(c-b)</w:t>
            </w:r>
          </w:p>
        </w:tc>
        <w:tc>
          <w:tcPr>
            <w:tcW w:w="516" w:type="pct"/>
            <w:tcBorders>
              <w:top w:val="single" w:sz="8" w:space="0" w:color="auto"/>
              <w:left w:val="nil"/>
              <w:bottom w:val="single" w:sz="4" w:space="0" w:color="auto"/>
              <w:right w:val="single" w:sz="8" w:space="0" w:color="auto"/>
            </w:tcBorders>
            <w:shd w:val="clear" w:color="auto" w:fill="auto"/>
            <w:vAlign w:val="center"/>
          </w:tcPr>
          <w:p w14:paraId="4E1FA84E" w14:textId="60FD2D4E" w:rsidR="004A5BC7" w:rsidRPr="001540E7" w:rsidRDefault="004A5BC7" w:rsidP="001540E7">
            <w:pPr>
              <w:spacing w:after="0" w:line="240" w:lineRule="auto"/>
              <w:jc w:val="center"/>
              <w:rPr>
                <w:rFonts w:ascii="Times New Roman" w:eastAsia="Times New Roman" w:hAnsi="Times New Roman" w:cs="Times New Roman"/>
                <w:b/>
                <w:bCs/>
                <w:color w:val="000000"/>
                <w:sz w:val="18"/>
                <w:szCs w:val="18"/>
              </w:rPr>
            </w:pPr>
            <w:r>
              <w:rPr>
                <w:rFonts w:ascii="Times New Roman" w:eastAsia="Times New Roman" w:hAnsi="Times New Roman" w:cs="Times New Roman"/>
                <w:b/>
                <w:bCs/>
                <w:color w:val="000000"/>
                <w:sz w:val="18"/>
                <w:szCs w:val="18"/>
              </w:rPr>
              <w:t>(c/b)</w:t>
            </w:r>
          </w:p>
        </w:tc>
      </w:tr>
      <w:tr w:rsidR="001540E7" w:rsidRPr="001540E7" w14:paraId="3932A995" w14:textId="77777777" w:rsidTr="001540E7">
        <w:trPr>
          <w:trHeight w:val="255"/>
        </w:trPr>
        <w:tc>
          <w:tcPr>
            <w:tcW w:w="1320" w:type="pct"/>
            <w:tcBorders>
              <w:top w:val="nil"/>
              <w:left w:val="single" w:sz="8" w:space="0" w:color="auto"/>
              <w:bottom w:val="single" w:sz="4" w:space="0" w:color="auto"/>
              <w:right w:val="nil"/>
            </w:tcBorders>
            <w:shd w:val="clear" w:color="auto" w:fill="auto"/>
            <w:vAlign w:val="center"/>
            <w:hideMark/>
          </w:tcPr>
          <w:p w14:paraId="71F7DDFE" w14:textId="77777777" w:rsidR="001540E7" w:rsidRPr="001540E7" w:rsidRDefault="001540E7" w:rsidP="001540E7">
            <w:pPr>
              <w:spacing w:after="0" w:line="240" w:lineRule="auto"/>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1. REVENUE</w:t>
            </w:r>
          </w:p>
        </w:tc>
        <w:tc>
          <w:tcPr>
            <w:tcW w:w="684" w:type="pct"/>
            <w:tcBorders>
              <w:top w:val="nil"/>
              <w:left w:val="single" w:sz="8" w:space="0" w:color="auto"/>
              <w:bottom w:val="single" w:sz="4" w:space="0" w:color="auto"/>
              <w:right w:val="single" w:sz="8" w:space="0" w:color="auto"/>
            </w:tcBorders>
            <w:shd w:val="clear" w:color="auto" w:fill="auto"/>
            <w:vAlign w:val="center"/>
            <w:hideMark/>
          </w:tcPr>
          <w:p w14:paraId="4D0C453F" w14:textId="77777777" w:rsidR="001540E7" w:rsidRPr="001540E7" w:rsidRDefault="001540E7" w:rsidP="001540E7">
            <w:pPr>
              <w:spacing w:after="0" w:line="240" w:lineRule="auto"/>
              <w:jc w:val="center"/>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826" w:type="pct"/>
            <w:tcBorders>
              <w:top w:val="nil"/>
              <w:left w:val="nil"/>
              <w:bottom w:val="single" w:sz="4" w:space="0" w:color="auto"/>
              <w:right w:val="single" w:sz="8" w:space="0" w:color="auto"/>
            </w:tcBorders>
            <w:shd w:val="clear" w:color="auto" w:fill="auto"/>
            <w:vAlign w:val="center"/>
            <w:hideMark/>
          </w:tcPr>
          <w:p w14:paraId="6AC951FC" w14:textId="77777777" w:rsidR="001540E7" w:rsidRPr="001540E7" w:rsidRDefault="001540E7" w:rsidP="001540E7">
            <w:pPr>
              <w:spacing w:after="0" w:line="240" w:lineRule="auto"/>
              <w:jc w:val="center"/>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826" w:type="pct"/>
            <w:tcBorders>
              <w:top w:val="nil"/>
              <w:left w:val="nil"/>
              <w:bottom w:val="single" w:sz="4" w:space="0" w:color="auto"/>
              <w:right w:val="single" w:sz="8" w:space="0" w:color="auto"/>
            </w:tcBorders>
            <w:shd w:val="clear" w:color="auto" w:fill="auto"/>
            <w:vAlign w:val="center"/>
            <w:hideMark/>
          </w:tcPr>
          <w:p w14:paraId="485B110E" w14:textId="77777777" w:rsidR="001540E7" w:rsidRPr="001540E7" w:rsidRDefault="001540E7" w:rsidP="001540E7">
            <w:pPr>
              <w:spacing w:after="0" w:line="240" w:lineRule="auto"/>
              <w:jc w:val="center"/>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826" w:type="pct"/>
            <w:tcBorders>
              <w:top w:val="nil"/>
              <w:left w:val="nil"/>
              <w:bottom w:val="single" w:sz="4" w:space="0" w:color="auto"/>
              <w:right w:val="single" w:sz="8" w:space="0" w:color="auto"/>
            </w:tcBorders>
            <w:shd w:val="clear" w:color="auto" w:fill="auto"/>
            <w:vAlign w:val="center"/>
            <w:hideMark/>
          </w:tcPr>
          <w:p w14:paraId="68AA1E20" w14:textId="77777777" w:rsidR="001540E7" w:rsidRPr="001540E7" w:rsidRDefault="001540E7" w:rsidP="001540E7">
            <w:pPr>
              <w:spacing w:after="0" w:line="240" w:lineRule="auto"/>
              <w:jc w:val="center"/>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516" w:type="pct"/>
            <w:tcBorders>
              <w:top w:val="nil"/>
              <w:left w:val="nil"/>
              <w:bottom w:val="single" w:sz="4" w:space="0" w:color="auto"/>
              <w:right w:val="single" w:sz="8" w:space="0" w:color="auto"/>
            </w:tcBorders>
            <w:shd w:val="clear" w:color="auto" w:fill="auto"/>
            <w:vAlign w:val="center"/>
            <w:hideMark/>
          </w:tcPr>
          <w:p w14:paraId="61529BDF" w14:textId="77777777" w:rsidR="001540E7" w:rsidRPr="001540E7" w:rsidRDefault="001540E7" w:rsidP="001540E7">
            <w:pPr>
              <w:spacing w:after="0" w:line="240" w:lineRule="auto"/>
              <w:jc w:val="center"/>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r>
      <w:tr w:rsidR="001540E7" w:rsidRPr="001540E7" w14:paraId="057877FE" w14:textId="77777777" w:rsidTr="001540E7">
        <w:trPr>
          <w:trHeight w:val="255"/>
        </w:trPr>
        <w:tc>
          <w:tcPr>
            <w:tcW w:w="1320" w:type="pct"/>
            <w:tcBorders>
              <w:top w:val="nil"/>
              <w:left w:val="single" w:sz="8" w:space="0" w:color="auto"/>
              <w:bottom w:val="single" w:sz="4" w:space="0" w:color="auto"/>
              <w:right w:val="nil"/>
            </w:tcBorders>
            <w:shd w:val="clear" w:color="auto" w:fill="auto"/>
            <w:vAlign w:val="center"/>
            <w:hideMark/>
          </w:tcPr>
          <w:p w14:paraId="67A07E5C" w14:textId="77777777" w:rsidR="001540E7" w:rsidRPr="001540E7" w:rsidRDefault="001540E7" w:rsidP="001540E7">
            <w:pPr>
              <w:spacing w:after="0" w:line="240" w:lineRule="auto"/>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Equitable Share Allocation</w:t>
            </w:r>
          </w:p>
        </w:tc>
        <w:tc>
          <w:tcPr>
            <w:tcW w:w="684" w:type="pct"/>
            <w:tcBorders>
              <w:top w:val="nil"/>
              <w:left w:val="single" w:sz="8" w:space="0" w:color="auto"/>
              <w:bottom w:val="single" w:sz="4" w:space="0" w:color="auto"/>
              <w:right w:val="single" w:sz="8" w:space="0" w:color="auto"/>
            </w:tcBorders>
            <w:shd w:val="clear" w:color="auto" w:fill="auto"/>
            <w:vAlign w:val="center"/>
            <w:hideMark/>
          </w:tcPr>
          <w:p w14:paraId="131C8955"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7,701,000,000</w:t>
            </w:r>
          </w:p>
        </w:tc>
        <w:tc>
          <w:tcPr>
            <w:tcW w:w="826" w:type="pct"/>
            <w:tcBorders>
              <w:top w:val="nil"/>
              <w:left w:val="nil"/>
              <w:bottom w:val="single" w:sz="4" w:space="0" w:color="auto"/>
              <w:right w:val="single" w:sz="8" w:space="0" w:color="auto"/>
            </w:tcBorders>
            <w:shd w:val="clear" w:color="auto" w:fill="auto"/>
            <w:vAlign w:val="center"/>
            <w:hideMark/>
          </w:tcPr>
          <w:p w14:paraId="48CD49A9"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8,007,000,000.00 </w:t>
            </w:r>
          </w:p>
        </w:tc>
        <w:tc>
          <w:tcPr>
            <w:tcW w:w="826" w:type="pct"/>
            <w:tcBorders>
              <w:top w:val="nil"/>
              <w:left w:val="nil"/>
              <w:bottom w:val="single" w:sz="4" w:space="0" w:color="auto"/>
              <w:right w:val="single" w:sz="8" w:space="0" w:color="auto"/>
            </w:tcBorders>
            <w:shd w:val="clear" w:color="auto" w:fill="auto"/>
            <w:vAlign w:val="center"/>
            <w:hideMark/>
          </w:tcPr>
          <w:p w14:paraId="068FB2B0"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8,007,000,000.00 </w:t>
            </w:r>
          </w:p>
        </w:tc>
        <w:tc>
          <w:tcPr>
            <w:tcW w:w="826" w:type="pct"/>
            <w:tcBorders>
              <w:top w:val="nil"/>
              <w:left w:val="nil"/>
              <w:bottom w:val="single" w:sz="4" w:space="0" w:color="auto"/>
              <w:right w:val="single" w:sz="8" w:space="0" w:color="auto"/>
            </w:tcBorders>
            <w:shd w:val="clear" w:color="auto" w:fill="auto"/>
            <w:vAlign w:val="center"/>
            <w:hideMark/>
          </w:tcPr>
          <w:p w14:paraId="51C6B8B1"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   </w:t>
            </w:r>
          </w:p>
        </w:tc>
        <w:tc>
          <w:tcPr>
            <w:tcW w:w="516" w:type="pct"/>
            <w:tcBorders>
              <w:top w:val="nil"/>
              <w:left w:val="nil"/>
              <w:bottom w:val="single" w:sz="4" w:space="0" w:color="auto"/>
              <w:right w:val="single" w:sz="8" w:space="0" w:color="auto"/>
            </w:tcBorders>
            <w:shd w:val="clear" w:color="auto" w:fill="auto"/>
            <w:vAlign w:val="center"/>
            <w:hideMark/>
          </w:tcPr>
          <w:p w14:paraId="4FA84554" w14:textId="77777777" w:rsidR="001540E7" w:rsidRPr="001540E7" w:rsidRDefault="001540E7" w:rsidP="001540E7">
            <w:pPr>
              <w:spacing w:after="0" w:line="240" w:lineRule="auto"/>
              <w:jc w:val="center"/>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100%</w:t>
            </w:r>
          </w:p>
        </w:tc>
      </w:tr>
      <w:tr w:rsidR="001540E7" w:rsidRPr="001540E7" w14:paraId="16966F7C" w14:textId="77777777" w:rsidTr="001540E7">
        <w:trPr>
          <w:trHeight w:val="255"/>
        </w:trPr>
        <w:tc>
          <w:tcPr>
            <w:tcW w:w="1320" w:type="pct"/>
            <w:tcBorders>
              <w:top w:val="nil"/>
              <w:left w:val="single" w:sz="8" w:space="0" w:color="auto"/>
              <w:bottom w:val="single" w:sz="4" w:space="0" w:color="auto"/>
              <w:right w:val="nil"/>
            </w:tcBorders>
            <w:shd w:val="clear" w:color="auto" w:fill="auto"/>
            <w:vAlign w:val="center"/>
            <w:hideMark/>
          </w:tcPr>
          <w:p w14:paraId="79A001E5" w14:textId="77777777" w:rsidR="001540E7" w:rsidRPr="001540E7" w:rsidRDefault="001540E7" w:rsidP="001540E7">
            <w:pPr>
              <w:spacing w:after="0" w:line="240" w:lineRule="auto"/>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Conditional Grants</w:t>
            </w:r>
          </w:p>
        </w:tc>
        <w:tc>
          <w:tcPr>
            <w:tcW w:w="684" w:type="pct"/>
            <w:tcBorders>
              <w:top w:val="nil"/>
              <w:left w:val="single" w:sz="8" w:space="0" w:color="auto"/>
              <w:bottom w:val="single" w:sz="4" w:space="0" w:color="auto"/>
              <w:right w:val="single" w:sz="8" w:space="0" w:color="auto"/>
            </w:tcBorders>
            <w:shd w:val="clear" w:color="auto" w:fill="auto"/>
            <w:vAlign w:val="center"/>
            <w:hideMark/>
          </w:tcPr>
          <w:p w14:paraId="0A7597FE"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993,356,907</w:t>
            </w:r>
          </w:p>
        </w:tc>
        <w:tc>
          <w:tcPr>
            <w:tcW w:w="826" w:type="pct"/>
            <w:tcBorders>
              <w:top w:val="nil"/>
              <w:left w:val="nil"/>
              <w:bottom w:val="single" w:sz="4" w:space="0" w:color="auto"/>
              <w:right w:val="single" w:sz="8" w:space="0" w:color="auto"/>
            </w:tcBorders>
            <w:shd w:val="clear" w:color="auto" w:fill="auto"/>
            <w:vAlign w:val="center"/>
            <w:hideMark/>
          </w:tcPr>
          <w:p w14:paraId="5C54B108"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1,401,634,451.00 </w:t>
            </w:r>
          </w:p>
        </w:tc>
        <w:tc>
          <w:tcPr>
            <w:tcW w:w="826" w:type="pct"/>
            <w:tcBorders>
              <w:top w:val="nil"/>
              <w:left w:val="nil"/>
              <w:bottom w:val="single" w:sz="4" w:space="0" w:color="auto"/>
              <w:right w:val="single" w:sz="8" w:space="0" w:color="auto"/>
            </w:tcBorders>
            <w:shd w:val="clear" w:color="auto" w:fill="auto"/>
            <w:vAlign w:val="center"/>
            <w:hideMark/>
          </w:tcPr>
          <w:p w14:paraId="38185DDE"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926,039,659.00 </w:t>
            </w:r>
          </w:p>
        </w:tc>
        <w:tc>
          <w:tcPr>
            <w:tcW w:w="826" w:type="pct"/>
            <w:tcBorders>
              <w:top w:val="nil"/>
              <w:left w:val="nil"/>
              <w:bottom w:val="single" w:sz="4" w:space="0" w:color="auto"/>
              <w:right w:val="single" w:sz="8" w:space="0" w:color="auto"/>
            </w:tcBorders>
            <w:shd w:val="clear" w:color="auto" w:fill="auto"/>
            <w:vAlign w:val="center"/>
            <w:hideMark/>
          </w:tcPr>
          <w:p w14:paraId="19D5DEF3"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(475,594,792.00)</w:t>
            </w:r>
          </w:p>
        </w:tc>
        <w:tc>
          <w:tcPr>
            <w:tcW w:w="516" w:type="pct"/>
            <w:tcBorders>
              <w:top w:val="nil"/>
              <w:left w:val="nil"/>
              <w:bottom w:val="single" w:sz="4" w:space="0" w:color="auto"/>
              <w:right w:val="single" w:sz="8" w:space="0" w:color="auto"/>
            </w:tcBorders>
            <w:shd w:val="clear" w:color="auto" w:fill="auto"/>
            <w:vAlign w:val="center"/>
            <w:hideMark/>
          </w:tcPr>
          <w:p w14:paraId="3CD6C6D3" w14:textId="77777777" w:rsidR="001540E7" w:rsidRPr="001540E7" w:rsidRDefault="001540E7" w:rsidP="001540E7">
            <w:pPr>
              <w:spacing w:after="0" w:line="240" w:lineRule="auto"/>
              <w:jc w:val="center"/>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66%</w:t>
            </w:r>
          </w:p>
        </w:tc>
      </w:tr>
      <w:tr w:rsidR="001540E7" w:rsidRPr="001540E7" w14:paraId="3A408684" w14:textId="77777777" w:rsidTr="001540E7">
        <w:trPr>
          <w:trHeight w:val="255"/>
        </w:trPr>
        <w:tc>
          <w:tcPr>
            <w:tcW w:w="1320" w:type="pct"/>
            <w:tcBorders>
              <w:top w:val="nil"/>
              <w:left w:val="single" w:sz="8" w:space="0" w:color="auto"/>
              <w:bottom w:val="single" w:sz="4" w:space="0" w:color="auto"/>
              <w:right w:val="nil"/>
            </w:tcBorders>
            <w:shd w:val="clear" w:color="auto" w:fill="auto"/>
            <w:vAlign w:val="center"/>
            <w:hideMark/>
          </w:tcPr>
          <w:p w14:paraId="243FB1EE" w14:textId="77777777" w:rsidR="001540E7" w:rsidRPr="001540E7" w:rsidRDefault="001540E7" w:rsidP="001540E7">
            <w:pPr>
              <w:spacing w:after="0" w:line="240" w:lineRule="auto"/>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Roll-over from Previous FY</w:t>
            </w:r>
          </w:p>
        </w:tc>
        <w:tc>
          <w:tcPr>
            <w:tcW w:w="684" w:type="pct"/>
            <w:tcBorders>
              <w:top w:val="nil"/>
              <w:left w:val="single" w:sz="8" w:space="0" w:color="auto"/>
              <w:bottom w:val="single" w:sz="4" w:space="0" w:color="auto"/>
              <w:right w:val="single" w:sz="8" w:space="0" w:color="auto"/>
            </w:tcBorders>
            <w:shd w:val="clear" w:color="auto" w:fill="auto"/>
            <w:vAlign w:val="center"/>
            <w:hideMark/>
          </w:tcPr>
          <w:p w14:paraId="3A99AEAF"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999,740,329</w:t>
            </w:r>
          </w:p>
        </w:tc>
        <w:tc>
          <w:tcPr>
            <w:tcW w:w="826" w:type="pct"/>
            <w:tcBorders>
              <w:top w:val="nil"/>
              <w:left w:val="nil"/>
              <w:bottom w:val="single" w:sz="4" w:space="0" w:color="auto"/>
              <w:right w:val="single" w:sz="8" w:space="0" w:color="auto"/>
            </w:tcBorders>
            <w:shd w:val="clear" w:color="auto" w:fill="auto"/>
            <w:vAlign w:val="center"/>
            <w:hideMark/>
          </w:tcPr>
          <w:p w14:paraId="34CF4465"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1,918,667,088.00 </w:t>
            </w:r>
          </w:p>
        </w:tc>
        <w:tc>
          <w:tcPr>
            <w:tcW w:w="826" w:type="pct"/>
            <w:tcBorders>
              <w:top w:val="nil"/>
              <w:left w:val="nil"/>
              <w:bottom w:val="single" w:sz="4" w:space="0" w:color="auto"/>
              <w:right w:val="single" w:sz="8" w:space="0" w:color="auto"/>
            </w:tcBorders>
            <w:shd w:val="clear" w:color="auto" w:fill="auto"/>
            <w:vAlign w:val="center"/>
            <w:hideMark/>
          </w:tcPr>
          <w:p w14:paraId="0E7FA1D9"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1,918,667,088.00 </w:t>
            </w:r>
          </w:p>
        </w:tc>
        <w:tc>
          <w:tcPr>
            <w:tcW w:w="826" w:type="pct"/>
            <w:tcBorders>
              <w:top w:val="nil"/>
              <w:left w:val="nil"/>
              <w:bottom w:val="single" w:sz="4" w:space="0" w:color="auto"/>
              <w:right w:val="single" w:sz="8" w:space="0" w:color="auto"/>
            </w:tcBorders>
            <w:shd w:val="clear" w:color="auto" w:fill="auto"/>
            <w:vAlign w:val="center"/>
            <w:hideMark/>
          </w:tcPr>
          <w:p w14:paraId="5170BC6D"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   </w:t>
            </w:r>
          </w:p>
        </w:tc>
        <w:tc>
          <w:tcPr>
            <w:tcW w:w="516" w:type="pct"/>
            <w:tcBorders>
              <w:top w:val="nil"/>
              <w:left w:val="nil"/>
              <w:bottom w:val="single" w:sz="4" w:space="0" w:color="auto"/>
              <w:right w:val="single" w:sz="8" w:space="0" w:color="auto"/>
            </w:tcBorders>
            <w:shd w:val="clear" w:color="auto" w:fill="auto"/>
            <w:vAlign w:val="center"/>
            <w:hideMark/>
          </w:tcPr>
          <w:p w14:paraId="6CF97D15" w14:textId="77777777" w:rsidR="001540E7" w:rsidRPr="001540E7" w:rsidRDefault="001540E7" w:rsidP="001540E7">
            <w:pPr>
              <w:spacing w:after="0" w:line="240" w:lineRule="auto"/>
              <w:jc w:val="center"/>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100%</w:t>
            </w:r>
          </w:p>
        </w:tc>
      </w:tr>
      <w:tr w:rsidR="001540E7" w:rsidRPr="001540E7" w14:paraId="0903A56B" w14:textId="77777777" w:rsidTr="001540E7">
        <w:trPr>
          <w:trHeight w:val="255"/>
        </w:trPr>
        <w:tc>
          <w:tcPr>
            <w:tcW w:w="1320" w:type="pct"/>
            <w:tcBorders>
              <w:top w:val="nil"/>
              <w:left w:val="single" w:sz="8" w:space="0" w:color="auto"/>
              <w:bottom w:val="single" w:sz="4" w:space="0" w:color="auto"/>
              <w:right w:val="nil"/>
            </w:tcBorders>
            <w:shd w:val="clear" w:color="auto" w:fill="auto"/>
            <w:vAlign w:val="center"/>
            <w:hideMark/>
          </w:tcPr>
          <w:p w14:paraId="58754168" w14:textId="77777777" w:rsidR="001540E7" w:rsidRPr="001540E7" w:rsidRDefault="001540E7" w:rsidP="001540E7">
            <w:pPr>
              <w:spacing w:after="0" w:line="240" w:lineRule="auto"/>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County own revenues</w:t>
            </w:r>
          </w:p>
        </w:tc>
        <w:tc>
          <w:tcPr>
            <w:tcW w:w="684" w:type="pct"/>
            <w:tcBorders>
              <w:top w:val="nil"/>
              <w:left w:val="single" w:sz="8" w:space="0" w:color="auto"/>
              <w:bottom w:val="single" w:sz="4" w:space="0" w:color="auto"/>
              <w:right w:val="single" w:sz="8" w:space="0" w:color="auto"/>
            </w:tcBorders>
            <w:shd w:val="clear" w:color="auto" w:fill="auto"/>
            <w:vAlign w:val="center"/>
            <w:hideMark/>
          </w:tcPr>
          <w:p w14:paraId="255B0940"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601,775,812</w:t>
            </w:r>
          </w:p>
        </w:tc>
        <w:tc>
          <w:tcPr>
            <w:tcW w:w="826" w:type="pct"/>
            <w:tcBorders>
              <w:top w:val="nil"/>
              <w:left w:val="nil"/>
              <w:bottom w:val="single" w:sz="4" w:space="0" w:color="auto"/>
              <w:right w:val="single" w:sz="8" w:space="0" w:color="auto"/>
            </w:tcBorders>
            <w:shd w:val="clear" w:color="auto" w:fill="auto"/>
            <w:vAlign w:val="center"/>
            <w:hideMark/>
          </w:tcPr>
          <w:p w14:paraId="307EA741"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1,108,796,286.04 </w:t>
            </w:r>
          </w:p>
        </w:tc>
        <w:tc>
          <w:tcPr>
            <w:tcW w:w="826" w:type="pct"/>
            <w:tcBorders>
              <w:top w:val="nil"/>
              <w:left w:val="nil"/>
              <w:bottom w:val="single" w:sz="4" w:space="0" w:color="auto"/>
              <w:right w:val="single" w:sz="8" w:space="0" w:color="auto"/>
            </w:tcBorders>
            <w:shd w:val="clear" w:color="auto" w:fill="auto"/>
            <w:vAlign w:val="center"/>
            <w:hideMark/>
          </w:tcPr>
          <w:p w14:paraId="05E33BA3"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581,530,661.25 </w:t>
            </w:r>
          </w:p>
        </w:tc>
        <w:tc>
          <w:tcPr>
            <w:tcW w:w="826" w:type="pct"/>
            <w:tcBorders>
              <w:top w:val="nil"/>
              <w:left w:val="nil"/>
              <w:bottom w:val="single" w:sz="4" w:space="0" w:color="auto"/>
              <w:right w:val="single" w:sz="8" w:space="0" w:color="auto"/>
            </w:tcBorders>
            <w:shd w:val="clear" w:color="auto" w:fill="auto"/>
            <w:vAlign w:val="center"/>
            <w:hideMark/>
          </w:tcPr>
          <w:p w14:paraId="79739994"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(527,265,624.79)</w:t>
            </w:r>
          </w:p>
        </w:tc>
        <w:tc>
          <w:tcPr>
            <w:tcW w:w="516" w:type="pct"/>
            <w:tcBorders>
              <w:top w:val="nil"/>
              <w:left w:val="nil"/>
              <w:bottom w:val="single" w:sz="4" w:space="0" w:color="auto"/>
              <w:right w:val="single" w:sz="8" w:space="0" w:color="auto"/>
            </w:tcBorders>
            <w:shd w:val="clear" w:color="auto" w:fill="auto"/>
            <w:vAlign w:val="center"/>
            <w:hideMark/>
          </w:tcPr>
          <w:p w14:paraId="62D7B9E6" w14:textId="77777777" w:rsidR="001540E7" w:rsidRPr="001540E7" w:rsidRDefault="001540E7" w:rsidP="001540E7">
            <w:pPr>
              <w:spacing w:after="0" w:line="240" w:lineRule="auto"/>
              <w:jc w:val="center"/>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52%</w:t>
            </w:r>
          </w:p>
        </w:tc>
      </w:tr>
      <w:tr w:rsidR="001540E7" w:rsidRPr="001540E7" w14:paraId="772DDC39" w14:textId="77777777" w:rsidTr="001540E7">
        <w:trPr>
          <w:trHeight w:val="255"/>
        </w:trPr>
        <w:tc>
          <w:tcPr>
            <w:tcW w:w="1320" w:type="pct"/>
            <w:tcBorders>
              <w:top w:val="nil"/>
              <w:left w:val="single" w:sz="8" w:space="0" w:color="auto"/>
              <w:bottom w:val="single" w:sz="4" w:space="0" w:color="auto"/>
              <w:right w:val="nil"/>
            </w:tcBorders>
            <w:shd w:val="clear" w:color="auto" w:fill="auto"/>
            <w:vAlign w:val="center"/>
            <w:hideMark/>
          </w:tcPr>
          <w:p w14:paraId="6BEDACD2" w14:textId="2A99D593" w:rsidR="001540E7" w:rsidRPr="001540E7" w:rsidRDefault="001540E7" w:rsidP="001540E7">
            <w:pPr>
              <w:spacing w:after="0" w:line="240" w:lineRule="auto"/>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Appropriation in Aid</w:t>
            </w:r>
          </w:p>
        </w:tc>
        <w:tc>
          <w:tcPr>
            <w:tcW w:w="684" w:type="pct"/>
            <w:tcBorders>
              <w:top w:val="nil"/>
              <w:left w:val="single" w:sz="8" w:space="0" w:color="auto"/>
              <w:bottom w:val="single" w:sz="4" w:space="0" w:color="auto"/>
              <w:right w:val="single" w:sz="8" w:space="0" w:color="auto"/>
            </w:tcBorders>
            <w:shd w:val="clear" w:color="auto" w:fill="auto"/>
            <w:vAlign w:val="center"/>
            <w:hideMark/>
          </w:tcPr>
          <w:p w14:paraId="180BE1E9"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220,000,000</w:t>
            </w:r>
          </w:p>
        </w:tc>
        <w:tc>
          <w:tcPr>
            <w:tcW w:w="826" w:type="pct"/>
            <w:tcBorders>
              <w:top w:val="nil"/>
              <w:left w:val="nil"/>
              <w:bottom w:val="single" w:sz="4" w:space="0" w:color="auto"/>
              <w:right w:val="single" w:sz="8" w:space="0" w:color="auto"/>
            </w:tcBorders>
            <w:shd w:val="clear" w:color="auto" w:fill="auto"/>
            <w:vAlign w:val="center"/>
            <w:hideMark/>
          </w:tcPr>
          <w:p w14:paraId="1AE67798"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120,000,000.00 </w:t>
            </w:r>
          </w:p>
        </w:tc>
        <w:tc>
          <w:tcPr>
            <w:tcW w:w="826" w:type="pct"/>
            <w:tcBorders>
              <w:top w:val="nil"/>
              <w:left w:val="nil"/>
              <w:bottom w:val="single" w:sz="4" w:space="0" w:color="auto"/>
              <w:right w:val="single" w:sz="8" w:space="0" w:color="auto"/>
            </w:tcBorders>
            <w:shd w:val="clear" w:color="auto" w:fill="auto"/>
            <w:vAlign w:val="center"/>
            <w:hideMark/>
          </w:tcPr>
          <w:p w14:paraId="1686D4CB"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187,786,303.00 </w:t>
            </w:r>
          </w:p>
        </w:tc>
        <w:tc>
          <w:tcPr>
            <w:tcW w:w="826" w:type="pct"/>
            <w:tcBorders>
              <w:top w:val="nil"/>
              <w:left w:val="nil"/>
              <w:bottom w:val="single" w:sz="4" w:space="0" w:color="auto"/>
              <w:right w:val="single" w:sz="8" w:space="0" w:color="auto"/>
            </w:tcBorders>
            <w:shd w:val="clear" w:color="auto" w:fill="auto"/>
            <w:vAlign w:val="center"/>
            <w:hideMark/>
          </w:tcPr>
          <w:p w14:paraId="4D9E29AA"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67,786,303.00 </w:t>
            </w:r>
          </w:p>
        </w:tc>
        <w:tc>
          <w:tcPr>
            <w:tcW w:w="516" w:type="pct"/>
            <w:tcBorders>
              <w:top w:val="nil"/>
              <w:left w:val="nil"/>
              <w:bottom w:val="single" w:sz="4" w:space="0" w:color="auto"/>
              <w:right w:val="single" w:sz="8" w:space="0" w:color="auto"/>
            </w:tcBorders>
            <w:shd w:val="clear" w:color="auto" w:fill="auto"/>
            <w:vAlign w:val="center"/>
            <w:hideMark/>
          </w:tcPr>
          <w:p w14:paraId="47B14842" w14:textId="77777777" w:rsidR="001540E7" w:rsidRPr="001540E7" w:rsidRDefault="001540E7" w:rsidP="001540E7">
            <w:pPr>
              <w:spacing w:after="0" w:line="240" w:lineRule="auto"/>
              <w:jc w:val="center"/>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156%</w:t>
            </w:r>
          </w:p>
        </w:tc>
      </w:tr>
      <w:tr w:rsidR="001540E7" w:rsidRPr="001540E7" w14:paraId="24491078" w14:textId="77777777" w:rsidTr="001540E7">
        <w:trPr>
          <w:trHeight w:val="255"/>
        </w:trPr>
        <w:tc>
          <w:tcPr>
            <w:tcW w:w="1320" w:type="pct"/>
            <w:tcBorders>
              <w:top w:val="nil"/>
              <w:left w:val="single" w:sz="8" w:space="0" w:color="auto"/>
              <w:bottom w:val="single" w:sz="4" w:space="0" w:color="auto"/>
              <w:right w:val="nil"/>
            </w:tcBorders>
            <w:shd w:val="clear" w:color="auto" w:fill="auto"/>
            <w:vAlign w:val="center"/>
            <w:hideMark/>
          </w:tcPr>
          <w:p w14:paraId="35666527" w14:textId="77777777" w:rsidR="001540E7" w:rsidRPr="001540E7" w:rsidRDefault="001540E7" w:rsidP="001540E7">
            <w:pPr>
              <w:spacing w:after="0" w:line="240" w:lineRule="auto"/>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Previous Years grants B/F</w:t>
            </w:r>
          </w:p>
        </w:tc>
        <w:tc>
          <w:tcPr>
            <w:tcW w:w="684" w:type="pct"/>
            <w:tcBorders>
              <w:top w:val="nil"/>
              <w:left w:val="single" w:sz="8" w:space="0" w:color="auto"/>
              <w:bottom w:val="single" w:sz="4" w:space="0" w:color="auto"/>
              <w:right w:val="single" w:sz="8" w:space="0" w:color="auto"/>
            </w:tcBorders>
            <w:shd w:val="clear" w:color="auto" w:fill="auto"/>
            <w:vAlign w:val="center"/>
            <w:hideMark/>
          </w:tcPr>
          <w:p w14:paraId="344358F8"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199,331,220</w:t>
            </w:r>
          </w:p>
        </w:tc>
        <w:tc>
          <w:tcPr>
            <w:tcW w:w="826" w:type="pct"/>
            <w:tcBorders>
              <w:top w:val="nil"/>
              <w:left w:val="nil"/>
              <w:bottom w:val="single" w:sz="4" w:space="0" w:color="auto"/>
              <w:right w:val="single" w:sz="8" w:space="0" w:color="auto"/>
            </w:tcBorders>
            <w:shd w:val="clear" w:color="auto" w:fill="auto"/>
            <w:vAlign w:val="center"/>
            <w:hideMark/>
          </w:tcPr>
          <w:p w14:paraId="16B8E6BB"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   </w:t>
            </w:r>
          </w:p>
        </w:tc>
        <w:tc>
          <w:tcPr>
            <w:tcW w:w="826" w:type="pct"/>
            <w:tcBorders>
              <w:top w:val="nil"/>
              <w:left w:val="nil"/>
              <w:bottom w:val="single" w:sz="4" w:space="0" w:color="auto"/>
              <w:right w:val="single" w:sz="8" w:space="0" w:color="auto"/>
            </w:tcBorders>
            <w:shd w:val="clear" w:color="auto" w:fill="auto"/>
            <w:vAlign w:val="center"/>
            <w:hideMark/>
          </w:tcPr>
          <w:p w14:paraId="4E785618"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   </w:t>
            </w:r>
          </w:p>
        </w:tc>
        <w:tc>
          <w:tcPr>
            <w:tcW w:w="826" w:type="pct"/>
            <w:tcBorders>
              <w:top w:val="nil"/>
              <w:left w:val="nil"/>
              <w:bottom w:val="single" w:sz="4" w:space="0" w:color="auto"/>
              <w:right w:val="single" w:sz="8" w:space="0" w:color="auto"/>
            </w:tcBorders>
            <w:shd w:val="clear" w:color="auto" w:fill="auto"/>
            <w:vAlign w:val="center"/>
            <w:hideMark/>
          </w:tcPr>
          <w:p w14:paraId="798BBF77"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   </w:t>
            </w:r>
          </w:p>
        </w:tc>
        <w:tc>
          <w:tcPr>
            <w:tcW w:w="516" w:type="pct"/>
            <w:tcBorders>
              <w:top w:val="nil"/>
              <w:left w:val="nil"/>
              <w:bottom w:val="single" w:sz="4" w:space="0" w:color="auto"/>
              <w:right w:val="single" w:sz="8" w:space="0" w:color="auto"/>
            </w:tcBorders>
            <w:shd w:val="clear" w:color="auto" w:fill="auto"/>
            <w:vAlign w:val="center"/>
            <w:hideMark/>
          </w:tcPr>
          <w:p w14:paraId="013D35E4" w14:textId="77777777" w:rsidR="001540E7" w:rsidRPr="001540E7" w:rsidRDefault="001540E7" w:rsidP="001540E7">
            <w:pPr>
              <w:spacing w:after="0" w:line="240" w:lineRule="auto"/>
              <w:jc w:val="center"/>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w:t>
            </w:r>
          </w:p>
        </w:tc>
      </w:tr>
      <w:tr w:rsidR="001540E7" w:rsidRPr="001540E7" w14:paraId="26705859" w14:textId="77777777" w:rsidTr="001540E7">
        <w:trPr>
          <w:trHeight w:val="255"/>
        </w:trPr>
        <w:tc>
          <w:tcPr>
            <w:tcW w:w="1320" w:type="pct"/>
            <w:tcBorders>
              <w:top w:val="nil"/>
              <w:left w:val="single" w:sz="8" w:space="0" w:color="auto"/>
              <w:bottom w:val="single" w:sz="4" w:space="0" w:color="auto"/>
              <w:right w:val="nil"/>
            </w:tcBorders>
            <w:shd w:val="clear" w:color="auto" w:fill="auto"/>
            <w:vAlign w:val="center"/>
            <w:hideMark/>
          </w:tcPr>
          <w:p w14:paraId="22099E9E" w14:textId="77777777" w:rsidR="001540E7" w:rsidRPr="001540E7" w:rsidRDefault="001540E7" w:rsidP="001540E7">
            <w:pPr>
              <w:spacing w:after="0" w:line="240" w:lineRule="auto"/>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Total Revenue &amp; Grants</w:t>
            </w:r>
          </w:p>
        </w:tc>
        <w:tc>
          <w:tcPr>
            <w:tcW w:w="684" w:type="pct"/>
            <w:tcBorders>
              <w:top w:val="nil"/>
              <w:left w:val="single" w:sz="8" w:space="0" w:color="auto"/>
              <w:bottom w:val="single" w:sz="4" w:space="0" w:color="auto"/>
              <w:right w:val="single" w:sz="8" w:space="0" w:color="auto"/>
            </w:tcBorders>
            <w:shd w:val="clear" w:color="auto" w:fill="auto"/>
            <w:vAlign w:val="center"/>
            <w:hideMark/>
          </w:tcPr>
          <w:p w14:paraId="6616DC44"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10,715,204,268</w:t>
            </w:r>
          </w:p>
        </w:tc>
        <w:tc>
          <w:tcPr>
            <w:tcW w:w="826" w:type="pct"/>
            <w:tcBorders>
              <w:top w:val="nil"/>
              <w:left w:val="nil"/>
              <w:bottom w:val="single" w:sz="4" w:space="0" w:color="auto"/>
              <w:right w:val="single" w:sz="8" w:space="0" w:color="auto"/>
            </w:tcBorders>
            <w:shd w:val="clear" w:color="auto" w:fill="auto"/>
            <w:vAlign w:val="center"/>
            <w:hideMark/>
          </w:tcPr>
          <w:p w14:paraId="160CFC21"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12,556,097,825</w:t>
            </w:r>
          </w:p>
        </w:tc>
        <w:tc>
          <w:tcPr>
            <w:tcW w:w="826" w:type="pct"/>
            <w:tcBorders>
              <w:top w:val="nil"/>
              <w:left w:val="nil"/>
              <w:bottom w:val="single" w:sz="4" w:space="0" w:color="auto"/>
              <w:right w:val="single" w:sz="8" w:space="0" w:color="auto"/>
            </w:tcBorders>
            <w:shd w:val="clear" w:color="auto" w:fill="auto"/>
            <w:vAlign w:val="center"/>
            <w:hideMark/>
          </w:tcPr>
          <w:p w14:paraId="0B312A93"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11,621,023,711</w:t>
            </w:r>
          </w:p>
        </w:tc>
        <w:tc>
          <w:tcPr>
            <w:tcW w:w="826" w:type="pct"/>
            <w:tcBorders>
              <w:top w:val="nil"/>
              <w:left w:val="nil"/>
              <w:bottom w:val="single" w:sz="4" w:space="0" w:color="auto"/>
              <w:right w:val="single" w:sz="8" w:space="0" w:color="auto"/>
            </w:tcBorders>
            <w:shd w:val="clear" w:color="auto" w:fill="auto"/>
            <w:vAlign w:val="center"/>
            <w:hideMark/>
          </w:tcPr>
          <w:p w14:paraId="783AFFCC"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xml:space="preserve">     (935,074,113.79)</w:t>
            </w:r>
          </w:p>
        </w:tc>
        <w:tc>
          <w:tcPr>
            <w:tcW w:w="516" w:type="pct"/>
            <w:tcBorders>
              <w:top w:val="nil"/>
              <w:left w:val="nil"/>
              <w:bottom w:val="single" w:sz="4" w:space="0" w:color="auto"/>
              <w:right w:val="single" w:sz="8" w:space="0" w:color="auto"/>
            </w:tcBorders>
            <w:shd w:val="clear" w:color="auto" w:fill="auto"/>
            <w:vAlign w:val="center"/>
            <w:hideMark/>
          </w:tcPr>
          <w:p w14:paraId="0A74305F" w14:textId="77777777" w:rsidR="001540E7" w:rsidRPr="001540E7" w:rsidRDefault="001540E7" w:rsidP="001540E7">
            <w:pPr>
              <w:spacing w:after="0" w:line="240" w:lineRule="auto"/>
              <w:jc w:val="center"/>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93%</w:t>
            </w:r>
          </w:p>
        </w:tc>
      </w:tr>
      <w:tr w:rsidR="001540E7" w:rsidRPr="001540E7" w14:paraId="4A083A01" w14:textId="77777777" w:rsidTr="001540E7">
        <w:trPr>
          <w:trHeight w:val="255"/>
        </w:trPr>
        <w:tc>
          <w:tcPr>
            <w:tcW w:w="1320" w:type="pct"/>
            <w:tcBorders>
              <w:top w:val="nil"/>
              <w:left w:val="single" w:sz="8" w:space="0" w:color="auto"/>
              <w:bottom w:val="single" w:sz="4" w:space="0" w:color="auto"/>
              <w:right w:val="nil"/>
            </w:tcBorders>
            <w:shd w:val="clear" w:color="auto" w:fill="auto"/>
            <w:vAlign w:val="center"/>
            <w:hideMark/>
          </w:tcPr>
          <w:p w14:paraId="3EFA0BC6" w14:textId="77777777" w:rsidR="001540E7" w:rsidRPr="001540E7" w:rsidRDefault="001540E7" w:rsidP="001540E7">
            <w:pPr>
              <w:spacing w:after="0" w:line="240" w:lineRule="auto"/>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684" w:type="pct"/>
            <w:tcBorders>
              <w:top w:val="nil"/>
              <w:left w:val="single" w:sz="8" w:space="0" w:color="auto"/>
              <w:bottom w:val="single" w:sz="4" w:space="0" w:color="auto"/>
              <w:right w:val="single" w:sz="8" w:space="0" w:color="auto"/>
            </w:tcBorders>
            <w:shd w:val="clear" w:color="auto" w:fill="auto"/>
            <w:vAlign w:val="center"/>
            <w:hideMark/>
          </w:tcPr>
          <w:p w14:paraId="19A282AC"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826" w:type="pct"/>
            <w:tcBorders>
              <w:top w:val="nil"/>
              <w:left w:val="nil"/>
              <w:bottom w:val="single" w:sz="4" w:space="0" w:color="auto"/>
              <w:right w:val="single" w:sz="8" w:space="0" w:color="auto"/>
            </w:tcBorders>
            <w:shd w:val="clear" w:color="auto" w:fill="auto"/>
            <w:vAlign w:val="center"/>
            <w:hideMark/>
          </w:tcPr>
          <w:p w14:paraId="0A7BCEDD"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826" w:type="pct"/>
            <w:tcBorders>
              <w:top w:val="nil"/>
              <w:left w:val="nil"/>
              <w:bottom w:val="single" w:sz="4" w:space="0" w:color="auto"/>
              <w:right w:val="single" w:sz="8" w:space="0" w:color="auto"/>
            </w:tcBorders>
            <w:shd w:val="clear" w:color="auto" w:fill="auto"/>
            <w:vAlign w:val="center"/>
            <w:hideMark/>
          </w:tcPr>
          <w:p w14:paraId="4ABBA79C"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826" w:type="pct"/>
            <w:tcBorders>
              <w:top w:val="nil"/>
              <w:left w:val="nil"/>
              <w:bottom w:val="single" w:sz="4" w:space="0" w:color="auto"/>
              <w:right w:val="single" w:sz="8" w:space="0" w:color="auto"/>
            </w:tcBorders>
            <w:shd w:val="clear" w:color="auto" w:fill="auto"/>
            <w:vAlign w:val="center"/>
            <w:hideMark/>
          </w:tcPr>
          <w:p w14:paraId="1C19F5C6"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516" w:type="pct"/>
            <w:tcBorders>
              <w:top w:val="nil"/>
              <w:left w:val="nil"/>
              <w:bottom w:val="single" w:sz="4" w:space="0" w:color="auto"/>
              <w:right w:val="single" w:sz="8" w:space="0" w:color="auto"/>
            </w:tcBorders>
            <w:shd w:val="clear" w:color="auto" w:fill="auto"/>
            <w:vAlign w:val="center"/>
            <w:hideMark/>
          </w:tcPr>
          <w:p w14:paraId="2AF66833" w14:textId="77777777" w:rsidR="001540E7" w:rsidRPr="001540E7" w:rsidRDefault="001540E7" w:rsidP="001540E7">
            <w:pPr>
              <w:spacing w:after="0" w:line="240" w:lineRule="auto"/>
              <w:jc w:val="center"/>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w:t>
            </w:r>
          </w:p>
        </w:tc>
      </w:tr>
      <w:tr w:rsidR="001540E7" w:rsidRPr="001540E7" w14:paraId="563A80CE" w14:textId="77777777" w:rsidTr="001540E7">
        <w:trPr>
          <w:trHeight w:val="255"/>
        </w:trPr>
        <w:tc>
          <w:tcPr>
            <w:tcW w:w="1320" w:type="pct"/>
            <w:tcBorders>
              <w:top w:val="nil"/>
              <w:left w:val="single" w:sz="8" w:space="0" w:color="auto"/>
              <w:bottom w:val="single" w:sz="4" w:space="0" w:color="auto"/>
              <w:right w:val="nil"/>
            </w:tcBorders>
            <w:shd w:val="clear" w:color="auto" w:fill="auto"/>
            <w:vAlign w:val="center"/>
            <w:hideMark/>
          </w:tcPr>
          <w:p w14:paraId="38A60B29" w14:textId="40DA33B6" w:rsidR="001540E7" w:rsidRPr="001540E7" w:rsidRDefault="0097015B" w:rsidP="001540E7">
            <w:pPr>
              <w:spacing w:after="0" w:line="240" w:lineRule="auto"/>
              <w:rPr>
                <w:rFonts w:ascii="Times New Roman" w:eastAsia="Times New Roman" w:hAnsi="Times New Roman" w:cs="Times New Roman"/>
                <w:b/>
                <w:bCs/>
                <w:color w:val="000000"/>
                <w:sz w:val="18"/>
                <w:szCs w:val="18"/>
              </w:rPr>
            </w:pPr>
            <w:r>
              <w:rPr>
                <w:rFonts w:ascii="Times New Roman" w:eastAsia="Times New Roman" w:hAnsi="Times New Roman" w:cs="Times New Roman"/>
                <w:b/>
                <w:bCs/>
                <w:color w:val="000000"/>
                <w:sz w:val="18"/>
                <w:szCs w:val="18"/>
              </w:rPr>
              <w:t xml:space="preserve"> </w:t>
            </w:r>
            <w:r w:rsidR="001540E7" w:rsidRPr="001540E7">
              <w:rPr>
                <w:rFonts w:ascii="Times New Roman" w:eastAsia="Times New Roman" w:hAnsi="Times New Roman" w:cs="Times New Roman"/>
                <w:b/>
                <w:bCs/>
                <w:color w:val="000000"/>
                <w:sz w:val="18"/>
                <w:szCs w:val="18"/>
              </w:rPr>
              <w:t> </w:t>
            </w:r>
          </w:p>
        </w:tc>
        <w:tc>
          <w:tcPr>
            <w:tcW w:w="684" w:type="pct"/>
            <w:tcBorders>
              <w:top w:val="nil"/>
              <w:left w:val="single" w:sz="8" w:space="0" w:color="auto"/>
              <w:bottom w:val="single" w:sz="4" w:space="0" w:color="auto"/>
              <w:right w:val="single" w:sz="8" w:space="0" w:color="auto"/>
            </w:tcBorders>
            <w:shd w:val="clear" w:color="auto" w:fill="auto"/>
            <w:vAlign w:val="center"/>
            <w:hideMark/>
          </w:tcPr>
          <w:p w14:paraId="5506F2B8"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826" w:type="pct"/>
            <w:tcBorders>
              <w:top w:val="nil"/>
              <w:left w:val="nil"/>
              <w:bottom w:val="single" w:sz="4" w:space="0" w:color="auto"/>
              <w:right w:val="single" w:sz="8" w:space="0" w:color="auto"/>
            </w:tcBorders>
            <w:shd w:val="clear" w:color="auto" w:fill="auto"/>
            <w:vAlign w:val="center"/>
            <w:hideMark/>
          </w:tcPr>
          <w:p w14:paraId="069A59FC"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826" w:type="pct"/>
            <w:tcBorders>
              <w:top w:val="nil"/>
              <w:left w:val="nil"/>
              <w:bottom w:val="single" w:sz="4" w:space="0" w:color="auto"/>
              <w:right w:val="single" w:sz="8" w:space="0" w:color="auto"/>
            </w:tcBorders>
            <w:shd w:val="clear" w:color="auto" w:fill="auto"/>
            <w:vAlign w:val="center"/>
            <w:hideMark/>
          </w:tcPr>
          <w:p w14:paraId="6A7AC38E"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826" w:type="pct"/>
            <w:tcBorders>
              <w:top w:val="nil"/>
              <w:left w:val="nil"/>
              <w:bottom w:val="single" w:sz="4" w:space="0" w:color="auto"/>
              <w:right w:val="single" w:sz="8" w:space="0" w:color="auto"/>
            </w:tcBorders>
            <w:shd w:val="clear" w:color="auto" w:fill="auto"/>
            <w:vAlign w:val="center"/>
            <w:hideMark/>
          </w:tcPr>
          <w:p w14:paraId="02AD0278"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516" w:type="pct"/>
            <w:tcBorders>
              <w:top w:val="nil"/>
              <w:left w:val="nil"/>
              <w:bottom w:val="single" w:sz="4" w:space="0" w:color="auto"/>
              <w:right w:val="single" w:sz="8" w:space="0" w:color="auto"/>
            </w:tcBorders>
            <w:shd w:val="clear" w:color="auto" w:fill="auto"/>
            <w:vAlign w:val="center"/>
            <w:hideMark/>
          </w:tcPr>
          <w:p w14:paraId="42446DF1" w14:textId="77777777" w:rsidR="001540E7" w:rsidRPr="001540E7" w:rsidRDefault="001540E7" w:rsidP="001540E7">
            <w:pPr>
              <w:spacing w:after="0" w:line="240" w:lineRule="auto"/>
              <w:jc w:val="center"/>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w:t>
            </w:r>
          </w:p>
        </w:tc>
      </w:tr>
      <w:tr w:rsidR="001540E7" w:rsidRPr="001540E7" w14:paraId="5272D105" w14:textId="77777777" w:rsidTr="001540E7">
        <w:trPr>
          <w:trHeight w:val="255"/>
        </w:trPr>
        <w:tc>
          <w:tcPr>
            <w:tcW w:w="1320" w:type="pct"/>
            <w:tcBorders>
              <w:top w:val="nil"/>
              <w:left w:val="single" w:sz="8" w:space="0" w:color="auto"/>
              <w:bottom w:val="single" w:sz="4" w:space="0" w:color="auto"/>
              <w:right w:val="nil"/>
            </w:tcBorders>
            <w:shd w:val="clear" w:color="auto" w:fill="auto"/>
            <w:vAlign w:val="center"/>
            <w:hideMark/>
          </w:tcPr>
          <w:p w14:paraId="1D6C4FE8" w14:textId="77777777" w:rsidR="001540E7" w:rsidRPr="001540E7" w:rsidRDefault="001540E7" w:rsidP="001540E7">
            <w:pPr>
              <w:spacing w:after="0" w:line="240" w:lineRule="auto"/>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2. EXPENDITURE</w:t>
            </w:r>
          </w:p>
        </w:tc>
        <w:tc>
          <w:tcPr>
            <w:tcW w:w="684" w:type="pct"/>
            <w:tcBorders>
              <w:top w:val="nil"/>
              <w:left w:val="single" w:sz="8" w:space="0" w:color="auto"/>
              <w:bottom w:val="single" w:sz="4" w:space="0" w:color="auto"/>
              <w:right w:val="single" w:sz="8" w:space="0" w:color="auto"/>
            </w:tcBorders>
            <w:shd w:val="clear" w:color="auto" w:fill="auto"/>
            <w:vAlign w:val="center"/>
            <w:hideMark/>
          </w:tcPr>
          <w:p w14:paraId="5F422E6D"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826" w:type="pct"/>
            <w:tcBorders>
              <w:top w:val="nil"/>
              <w:left w:val="nil"/>
              <w:bottom w:val="single" w:sz="4" w:space="0" w:color="auto"/>
              <w:right w:val="single" w:sz="8" w:space="0" w:color="auto"/>
            </w:tcBorders>
            <w:shd w:val="clear" w:color="auto" w:fill="auto"/>
            <w:vAlign w:val="center"/>
            <w:hideMark/>
          </w:tcPr>
          <w:p w14:paraId="08FBFFD1"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826" w:type="pct"/>
            <w:tcBorders>
              <w:top w:val="nil"/>
              <w:left w:val="nil"/>
              <w:bottom w:val="single" w:sz="4" w:space="0" w:color="auto"/>
              <w:right w:val="single" w:sz="8" w:space="0" w:color="auto"/>
            </w:tcBorders>
            <w:shd w:val="clear" w:color="auto" w:fill="auto"/>
            <w:vAlign w:val="center"/>
            <w:hideMark/>
          </w:tcPr>
          <w:p w14:paraId="46919DD6"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826" w:type="pct"/>
            <w:tcBorders>
              <w:top w:val="nil"/>
              <w:left w:val="nil"/>
              <w:bottom w:val="single" w:sz="4" w:space="0" w:color="auto"/>
              <w:right w:val="single" w:sz="8" w:space="0" w:color="auto"/>
            </w:tcBorders>
            <w:shd w:val="clear" w:color="auto" w:fill="auto"/>
            <w:vAlign w:val="center"/>
            <w:hideMark/>
          </w:tcPr>
          <w:p w14:paraId="5B60FB53"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xml:space="preserve">                                -   </w:t>
            </w:r>
          </w:p>
        </w:tc>
        <w:tc>
          <w:tcPr>
            <w:tcW w:w="516" w:type="pct"/>
            <w:tcBorders>
              <w:top w:val="nil"/>
              <w:left w:val="nil"/>
              <w:bottom w:val="single" w:sz="4" w:space="0" w:color="auto"/>
              <w:right w:val="single" w:sz="8" w:space="0" w:color="auto"/>
            </w:tcBorders>
            <w:shd w:val="clear" w:color="auto" w:fill="auto"/>
            <w:vAlign w:val="center"/>
            <w:hideMark/>
          </w:tcPr>
          <w:p w14:paraId="32967E2A" w14:textId="77777777" w:rsidR="001540E7" w:rsidRPr="001540E7" w:rsidRDefault="001540E7" w:rsidP="001540E7">
            <w:pPr>
              <w:spacing w:after="0" w:line="240" w:lineRule="auto"/>
              <w:jc w:val="center"/>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w:t>
            </w:r>
          </w:p>
        </w:tc>
      </w:tr>
      <w:tr w:rsidR="001540E7" w:rsidRPr="001540E7" w14:paraId="181B1C38" w14:textId="77777777" w:rsidTr="001540E7">
        <w:trPr>
          <w:trHeight w:val="255"/>
        </w:trPr>
        <w:tc>
          <w:tcPr>
            <w:tcW w:w="1320" w:type="pct"/>
            <w:tcBorders>
              <w:top w:val="nil"/>
              <w:left w:val="single" w:sz="8" w:space="0" w:color="auto"/>
              <w:bottom w:val="single" w:sz="4" w:space="0" w:color="auto"/>
              <w:right w:val="nil"/>
            </w:tcBorders>
            <w:shd w:val="clear" w:color="auto" w:fill="auto"/>
            <w:vAlign w:val="center"/>
            <w:hideMark/>
          </w:tcPr>
          <w:p w14:paraId="19C99CC3" w14:textId="77777777" w:rsidR="001540E7" w:rsidRPr="001540E7" w:rsidRDefault="001540E7" w:rsidP="001540E7">
            <w:pPr>
              <w:spacing w:after="0" w:line="240" w:lineRule="auto"/>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Recurrent Expenditure</w:t>
            </w:r>
          </w:p>
        </w:tc>
        <w:tc>
          <w:tcPr>
            <w:tcW w:w="684" w:type="pct"/>
            <w:tcBorders>
              <w:top w:val="nil"/>
              <w:left w:val="single" w:sz="8" w:space="0" w:color="auto"/>
              <w:bottom w:val="single" w:sz="4" w:space="0" w:color="auto"/>
              <w:right w:val="single" w:sz="8" w:space="0" w:color="auto"/>
            </w:tcBorders>
            <w:shd w:val="clear" w:color="auto" w:fill="auto"/>
            <w:vAlign w:val="center"/>
            <w:hideMark/>
          </w:tcPr>
          <w:p w14:paraId="668FA68D"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w:t>
            </w:r>
          </w:p>
        </w:tc>
        <w:tc>
          <w:tcPr>
            <w:tcW w:w="826" w:type="pct"/>
            <w:tcBorders>
              <w:top w:val="nil"/>
              <w:left w:val="nil"/>
              <w:bottom w:val="single" w:sz="4" w:space="0" w:color="auto"/>
              <w:right w:val="single" w:sz="8" w:space="0" w:color="auto"/>
            </w:tcBorders>
            <w:shd w:val="clear" w:color="auto" w:fill="auto"/>
            <w:vAlign w:val="center"/>
            <w:hideMark/>
          </w:tcPr>
          <w:p w14:paraId="2FF55487"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w:t>
            </w:r>
          </w:p>
        </w:tc>
        <w:tc>
          <w:tcPr>
            <w:tcW w:w="826" w:type="pct"/>
            <w:tcBorders>
              <w:top w:val="nil"/>
              <w:left w:val="nil"/>
              <w:bottom w:val="single" w:sz="4" w:space="0" w:color="auto"/>
              <w:right w:val="single" w:sz="8" w:space="0" w:color="auto"/>
            </w:tcBorders>
            <w:shd w:val="clear" w:color="auto" w:fill="auto"/>
            <w:vAlign w:val="center"/>
            <w:hideMark/>
          </w:tcPr>
          <w:p w14:paraId="71B888B2"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w:t>
            </w:r>
          </w:p>
        </w:tc>
        <w:tc>
          <w:tcPr>
            <w:tcW w:w="826" w:type="pct"/>
            <w:tcBorders>
              <w:top w:val="nil"/>
              <w:left w:val="nil"/>
              <w:bottom w:val="single" w:sz="4" w:space="0" w:color="auto"/>
              <w:right w:val="single" w:sz="8" w:space="0" w:color="auto"/>
            </w:tcBorders>
            <w:shd w:val="clear" w:color="auto" w:fill="auto"/>
            <w:vAlign w:val="center"/>
            <w:hideMark/>
          </w:tcPr>
          <w:p w14:paraId="4F6103B5"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   </w:t>
            </w:r>
          </w:p>
        </w:tc>
        <w:tc>
          <w:tcPr>
            <w:tcW w:w="516" w:type="pct"/>
            <w:tcBorders>
              <w:top w:val="nil"/>
              <w:left w:val="nil"/>
              <w:bottom w:val="single" w:sz="4" w:space="0" w:color="auto"/>
              <w:right w:val="single" w:sz="8" w:space="0" w:color="auto"/>
            </w:tcBorders>
            <w:shd w:val="clear" w:color="auto" w:fill="auto"/>
            <w:vAlign w:val="center"/>
            <w:hideMark/>
          </w:tcPr>
          <w:p w14:paraId="57D817EF" w14:textId="77777777" w:rsidR="001540E7" w:rsidRPr="001540E7" w:rsidRDefault="001540E7" w:rsidP="001540E7">
            <w:pPr>
              <w:spacing w:after="0" w:line="240" w:lineRule="auto"/>
              <w:jc w:val="center"/>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w:t>
            </w:r>
          </w:p>
        </w:tc>
      </w:tr>
      <w:tr w:rsidR="001540E7" w:rsidRPr="001540E7" w14:paraId="6CEB062B" w14:textId="77777777" w:rsidTr="001540E7">
        <w:trPr>
          <w:trHeight w:val="255"/>
        </w:trPr>
        <w:tc>
          <w:tcPr>
            <w:tcW w:w="1320" w:type="pct"/>
            <w:tcBorders>
              <w:top w:val="nil"/>
              <w:left w:val="single" w:sz="8" w:space="0" w:color="auto"/>
              <w:bottom w:val="single" w:sz="4" w:space="0" w:color="auto"/>
              <w:right w:val="nil"/>
            </w:tcBorders>
            <w:shd w:val="clear" w:color="auto" w:fill="auto"/>
            <w:vAlign w:val="center"/>
            <w:hideMark/>
          </w:tcPr>
          <w:p w14:paraId="63165580" w14:textId="77777777" w:rsidR="001540E7" w:rsidRPr="001540E7" w:rsidRDefault="001540E7" w:rsidP="001540E7">
            <w:pPr>
              <w:spacing w:after="0" w:line="240" w:lineRule="auto"/>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Compensation to Employees</w:t>
            </w:r>
          </w:p>
        </w:tc>
        <w:tc>
          <w:tcPr>
            <w:tcW w:w="684" w:type="pct"/>
            <w:tcBorders>
              <w:top w:val="nil"/>
              <w:left w:val="single" w:sz="8" w:space="0" w:color="auto"/>
              <w:bottom w:val="single" w:sz="4" w:space="0" w:color="auto"/>
              <w:right w:val="single" w:sz="8" w:space="0" w:color="auto"/>
            </w:tcBorders>
            <w:shd w:val="clear" w:color="auto" w:fill="auto"/>
            <w:vAlign w:val="center"/>
            <w:hideMark/>
          </w:tcPr>
          <w:p w14:paraId="6ADB0270"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4,615,886,109</w:t>
            </w:r>
          </w:p>
        </w:tc>
        <w:tc>
          <w:tcPr>
            <w:tcW w:w="826" w:type="pct"/>
            <w:tcBorders>
              <w:top w:val="nil"/>
              <w:left w:val="nil"/>
              <w:bottom w:val="single" w:sz="4" w:space="0" w:color="auto"/>
              <w:right w:val="single" w:sz="8" w:space="0" w:color="auto"/>
            </w:tcBorders>
            <w:shd w:val="clear" w:color="auto" w:fill="auto"/>
            <w:vAlign w:val="center"/>
            <w:hideMark/>
          </w:tcPr>
          <w:p w14:paraId="6EF974F3"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4,824,824,783.46 </w:t>
            </w:r>
          </w:p>
        </w:tc>
        <w:tc>
          <w:tcPr>
            <w:tcW w:w="826" w:type="pct"/>
            <w:tcBorders>
              <w:top w:val="nil"/>
              <w:left w:val="nil"/>
              <w:bottom w:val="single" w:sz="4" w:space="0" w:color="auto"/>
              <w:right w:val="single" w:sz="8" w:space="0" w:color="auto"/>
            </w:tcBorders>
            <w:shd w:val="clear" w:color="auto" w:fill="auto"/>
            <w:vAlign w:val="center"/>
            <w:hideMark/>
          </w:tcPr>
          <w:p w14:paraId="73088EA0"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4,677,191,337.72 </w:t>
            </w:r>
          </w:p>
        </w:tc>
        <w:tc>
          <w:tcPr>
            <w:tcW w:w="826" w:type="pct"/>
            <w:tcBorders>
              <w:top w:val="nil"/>
              <w:left w:val="nil"/>
              <w:bottom w:val="single" w:sz="4" w:space="0" w:color="auto"/>
              <w:right w:val="single" w:sz="8" w:space="0" w:color="auto"/>
            </w:tcBorders>
            <w:shd w:val="clear" w:color="auto" w:fill="auto"/>
            <w:vAlign w:val="center"/>
            <w:hideMark/>
          </w:tcPr>
          <w:p w14:paraId="2A54962C"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(147,633,445.74)</w:t>
            </w:r>
          </w:p>
        </w:tc>
        <w:tc>
          <w:tcPr>
            <w:tcW w:w="516" w:type="pct"/>
            <w:tcBorders>
              <w:top w:val="nil"/>
              <w:left w:val="nil"/>
              <w:bottom w:val="single" w:sz="4" w:space="0" w:color="auto"/>
              <w:right w:val="single" w:sz="8" w:space="0" w:color="auto"/>
            </w:tcBorders>
            <w:shd w:val="clear" w:color="auto" w:fill="auto"/>
            <w:vAlign w:val="center"/>
            <w:hideMark/>
          </w:tcPr>
          <w:p w14:paraId="0A11EE2E" w14:textId="77777777" w:rsidR="001540E7" w:rsidRPr="001540E7" w:rsidRDefault="001540E7" w:rsidP="001540E7">
            <w:pPr>
              <w:spacing w:after="0" w:line="240" w:lineRule="auto"/>
              <w:jc w:val="center"/>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97%</w:t>
            </w:r>
          </w:p>
        </w:tc>
      </w:tr>
      <w:tr w:rsidR="001540E7" w:rsidRPr="001540E7" w14:paraId="0372237B" w14:textId="77777777" w:rsidTr="001540E7">
        <w:trPr>
          <w:trHeight w:val="255"/>
        </w:trPr>
        <w:tc>
          <w:tcPr>
            <w:tcW w:w="1320" w:type="pct"/>
            <w:tcBorders>
              <w:top w:val="nil"/>
              <w:left w:val="single" w:sz="8" w:space="0" w:color="auto"/>
              <w:bottom w:val="single" w:sz="4" w:space="0" w:color="auto"/>
              <w:right w:val="nil"/>
            </w:tcBorders>
            <w:shd w:val="clear" w:color="auto" w:fill="auto"/>
            <w:vAlign w:val="center"/>
            <w:hideMark/>
          </w:tcPr>
          <w:p w14:paraId="0F5886F3" w14:textId="77777777" w:rsidR="001540E7" w:rsidRPr="001540E7" w:rsidRDefault="001540E7" w:rsidP="001540E7">
            <w:pPr>
              <w:spacing w:after="0" w:line="240" w:lineRule="auto"/>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Use of goods and services</w:t>
            </w:r>
          </w:p>
        </w:tc>
        <w:tc>
          <w:tcPr>
            <w:tcW w:w="684" w:type="pct"/>
            <w:tcBorders>
              <w:top w:val="nil"/>
              <w:left w:val="single" w:sz="8" w:space="0" w:color="auto"/>
              <w:bottom w:val="single" w:sz="4" w:space="0" w:color="auto"/>
              <w:right w:val="single" w:sz="8" w:space="0" w:color="auto"/>
            </w:tcBorders>
            <w:shd w:val="clear" w:color="auto" w:fill="auto"/>
            <w:vAlign w:val="center"/>
            <w:hideMark/>
          </w:tcPr>
          <w:p w14:paraId="523DDE56"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1,375,155,671</w:t>
            </w:r>
          </w:p>
        </w:tc>
        <w:tc>
          <w:tcPr>
            <w:tcW w:w="826" w:type="pct"/>
            <w:tcBorders>
              <w:top w:val="nil"/>
              <w:left w:val="nil"/>
              <w:bottom w:val="single" w:sz="4" w:space="0" w:color="auto"/>
              <w:right w:val="single" w:sz="8" w:space="0" w:color="auto"/>
            </w:tcBorders>
            <w:shd w:val="clear" w:color="auto" w:fill="auto"/>
            <w:vAlign w:val="center"/>
            <w:hideMark/>
          </w:tcPr>
          <w:p w14:paraId="2A875CB7"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3,037,885,928.10 </w:t>
            </w:r>
          </w:p>
        </w:tc>
        <w:tc>
          <w:tcPr>
            <w:tcW w:w="826" w:type="pct"/>
            <w:tcBorders>
              <w:top w:val="nil"/>
              <w:left w:val="nil"/>
              <w:bottom w:val="single" w:sz="4" w:space="0" w:color="auto"/>
              <w:right w:val="single" w:sz="8" w:space="0" w:color="auto"/>
            </w:tcBorders>
            <w:shd w:val="clear" w:color="auto" w:fill="auto"/>
            <w:vAlign w:val="center"/>
            <w:hideMark/>
          </w:tcPr>
          <w:p w14:paraId="25FC994C"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2,922,418,142.02 </w:t>
            </w:r>
          </w:p>
        </w:tc>
        <w:tc>
          <w:tcPr>
            <w:tcW w:w="826" w:type="pct"/>
            <w:tcBorders>
              <w:top w:val="nil"/>
              <w:left w:val="nil"/>
              <w:bottom w:val="single" w:sz="4" w:space="0" w:color="auto"/>
              <w:right w:val="single" w:sz="8" w:space="0" w:color="auto"/>
            </w:tcBorders>
            <w:shd w:val="clear" w:color="auto" w:fill="auto"/>
            <w:vAlign w:val="center"/>
            <w:hideMark/>
          </w:tcPr>
          <w:p w14:paraId="6691B0A7"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(115,467,786.08)</w:t>
            </w:r>
          </w:p>
        </w:tc>
        <w:tc>
          <w:tcPr>
            <w:tcW w:w="516" w:type="pct"/>
            <w:tcBorders>
              <w:top w:val="nil"/>
              <w:left w:val="nil"/>
              <w:bottom w:val="single" w:sz="4" w:space="0" w:color="auto"/>
              <w:right w:val="single" w:sz="8" w:space="0" w:color="auto"/>
            </w:tcBorders>
            <w:shd w:val="clear" w:color="auto" w:fill="auto"/>
            <w:vAlign w:val="center"/>
            <w:hideMark/>
          </w:tcPr>
          <w:p w14:paraId="7E32F1C6" w14:textId="77777777" w:rsidR="001540E7" w:rsidRPr="001540E7" w:rsidRDefault="001540E7" w:rsidP="001540E7">
            <w:pPr>
              <w:spacing w:after="0" w:line="240" w:lineRule="auto"/>
              <w:jc w:val="center"/>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96%</w:t>
            </w:r>
          </w:p>
        </w:tc>
      </w:tr>
      <w:tr w:rsidR="001540E7" w:rsidRPr="001540E7" w14:paraId="283E246B" w14:textId="77777777" w:rsidTr="001540E7">
        <w:trPr>
          <w:trHeight w:val="255"/>
        </w:trPr>
        <w:tc>
          <w:tcPr>
            <w:tcW w:w="1320" w:type="pct"/>
            <w:tcBorders>
              <w:top w:val="nil"/>
              <w:left w:val="single" w:sz="8" w:space="0" w:color="auto"/>
              <w:bottom w:val="single" w:sz="4" w:space="0" w:color="auto"/>
              <w:right w:val="nil"/>
            </w:tcBorders>
            <w:shd w:val="clear" w:color="auto" w:fill="auto"/>
            <w:vAlign w:val="center"/>
            <w:hideMark/>
          </w:tcPr>
          <w:p w14:paraId="4CC7E466" w14:textId="77777777" w:rsidR="001540E7" w:rsidRPr="001540E7" w:rsidRDefault="001540E7" w:rsidP="001540E7">
            <w:pPr>
              <w:spacing w:after="0" w:line="240" w:lineRule="auto"/>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Recurrent Sub-Total</w:t>
            </w:r>
          </w:p>
        </w:tc>
        <w:tc>
          <w:tcPr>
            <w:tcW w:w="684" w:type="pct"/>
            <w:tcBorders>
              <w:top w:val="nil"/>
              <w:left w:val="single" w:sz="8" w:space="0" w:color="auto"/>
              <w:bottom w:val="single" w:sz="4" w:space="0" w:color="auto"/>
              <w:right w:val="single" w:sz="8" w:space="0" w:color="auto"/>
            </w:tcBorders>
            <w:shd w:val="clear" w:color="auto" w:fill="auto"/>
            <w:vAlign w:val="center"/>
            <w:hideMark/>
          </w:tcPr>
          <w:p w14:paraId="2B91F82B"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5,991,041,780</w:t>
            </w:r>
          </w:p>
        </w:tc>
        <w:tc>
          <w:tcPr>
            <w:tcW w:w="826" w:type="pct"/>
            <w:tcBorders>
              <w:top w:val="nil"/>
              <w:left w:val="nil"/>
              <w:bottom w:val="single" w:sz="4" w:space="0" w:color="auto"/>
              <w:right w:val="single" w:sz="8" w:space="0" w:color="auto"/>
            </w:tcBorders>
            <w:shd w:val="clear" w:color="auto" w:fill="auto"/>
            <w:vAlign w:val="center"/>
            <w:hideMark/>
          </w:tcPr>
          <w:p w14:paraId="19EA5EAB"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xml:space="preserve">    7,862,710,711.56 </w:t>
            </w:r>
          </w:p>
        </w:tc>
        <w:tc>
          <w:tcPr>
            <w:tcW w:w="826" w:type="pct"/>
            <w:tcBorders>
              <w:top w:val="nil"/>
              <w:left w:val="nil"/>
              <w:bottom w:val="single" w:sz="4" w:space="0" w:color="auto"/>
              <w:right w:val="single" w:sz="8" w:space="0" w:color="auto"/>
            </w:tcBorders>
            <w:shd w:val="clear" w:color="auto" w:fill="auto"/>
            <w:vAlign w:val="center"/>
            <w:hideMark/>
          </w:tcPr>
          <w:p w14:paraId="4F3E7FD1"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xml:space="preserve">    7,599,609,479.74 </w:t>
            </w:r>
          </w:p>
        </w:tc>
        <w:tc>
          <w:tcPr>
            <w:tcW w:w="826" w:type="pct"/>
            <w:tcBorders>
              <w:top w:val="nil"/>
              <w:left w:val="nil"/>
              <w:bottom w:val="single" w:sz="4" w:space="0" w:color="auto"/>
              <w:right w:val="single" w:sz="8" w:space="0" w:color="auto"/>
            </w:tcBorders>
            <w:shd w:val="clear" w:color="auto" w:fill="auto"/>
            <w:vAlign w:val="center"/>
            <w:hideMark/>
          </w:tcPr>
          <w:p w14:paraId="2BBA4985"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xml:space="preserve">     (263,101,231.83)</w:t>
            </w:r>
          </w:p>
        </w:tc>
        <w:tc>
          <w:tcPr>
            <w:tcW w:w="516" w:type="pct"/>
            <w:tcBorders>
              <w:top w:val="nil"/>
              <w:left w:val="nil"/>
              <w:bottom w:val="single" w:sz="4" w:space="0" w:color="auto"/>
              <w:right w:val="single" w:sz="8" w:space="0" w:color="auto"/>
            </w:tcBorders>
            <w:shd w:val="clear" w:color="auto" w:fill="auto"/>
            <w:vAlign w:val="center"/>
            <w:hideMark/>
          </w:tcPr>
          <w:p w14:paraId="24A34FEE" w14:textId="77777777" w:rsidR="001540E7" w:rsidRPr="001540E7" w:rsidRDefault="001540E7" w:rsidP="001540E7">
            <w:pPr>
              <w:spacing w:after="0" w:line="240" w:lineRule="auto"/>
              <w:jc w:val="center"/>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97%</w:t>
            </w:r>
          </w:p>
        </w:tc>
      </w:tr>
      <w:tr w:rsidR="001540E7" w:rsidRPr="001540E7" w14:paraId="78CE1877" w14:textId="77777777" w:rsidTr="001540E7">
        <w:trPr>
          <w:trHeight w:val="255"/>
        </w:trPr>
        <w:tc>
          <w:tcPr>
            <w:tcW w:w="1320" w:type="pct"/>
            <w:tcBorders>
              <w:top w:val="nil"/>
              <w:left w:val="single" w:sz="8" w:space="0" w:color="auto"/>
              <w:bottom w:val="single" w:sz="4" w:space="0" w:color="auto"/>
              <w:right w:val="nil"/>
            </w:tcBorders>
            <w:shd w:val="clear" w:color="auto" w:fill="auto"/>
            <w:vAlign w:val="center"/>
            <w:hideMark/>
          </w:tcPr>
          <w:p w14:paraId="7307F73B" w14:textId="77777777" w:rsidR="001540E7" w:rsidRPr="001540E7" w:rsidRDefault="001540E7" w:rsidP="001540E7">
            <w:pPr>
              <w:spacing w:after="0" w:line="240" w:lineRule="auto"/>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684" w:type="pct"/>
            <w:tcBorders>
              <w:top w:val="nil"/>
              <w:left w:val="single" w:sz="8" w:space="0" w:color="auto"/>
              <w:bottom w:val="single" w:sz="4" w:space="0" w:color="auto"/>
              <w:right w:val="single" w:sz="8" w:space="0" w:color="auto"/>
            </w:tcBorders>
            <w:shd w:val="clear" w:color="auto" w:fill="auto"/>
            <w:vAlign w:val="center"/>
            <w:hideMark/>
          </w:tcPr>
          <w:p w14:paraId="13A494E3"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826" w:type="pct"/>
            <w:tcBorders>
              <w:top w:val="nil"/>
              <w:left w:val="nil"/>
              <w:bottom w:val="single" w:sz="4" w:space="0" w:color="auto"/>
              <w:right w:val="single" w:sz="8" w:space="0" w:color="auto"/>
            </w:tcBorders>
            <w:shd w:val="clear" w:color="auto" w:fill="auto"/>
            <w:vAlign w:val="center"/>
            <w:hideMark/>
          </w:tcPr>
          <w:p w14:paraId="2BF08515"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826" w:type="pct"/>
            <w:tcBorders>
              <w:top w:val="nil"/>
              <w:left w:val="nil"/>
              <w:bottom w:val="single" w:sz="4" w:space="0" w:color="auto"/>
              <w:right w:val="single" w:sz="8" w:space="0" w:color="auto"/>
            </w:tcBorders>
            <w:shd w:val="clear" w:color="auto" w:fill="auto"/>
            <w:vAlign w:val="center"/>
            <w:hideMark/>
          </w:tcPr>
          <w:p w14:paraId="452E4E72"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826" w:type="pct"/>
            <w:tcBorders>
              <w:top w:val="nil"/>
              <w:left w:val="nil"/>
              <w:bottom w:val="single" w:sz="4" w:space="0" w:color="auto"/>
              <w:right w:val="single" w:sz="8" w:space="0" w:color="auto"/>
            </w:tcBorders>
            <w:shd w:val="clear" w:color="auto" w:fill="auto"/>
            <w:vAlign w:val="center"/>
            <w:hideMark/>
          </w:tcPr>
          <w:p w14:paraId="1C8440C3"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xml:space="preserve">                                -   </w:t>
            </w:r>
          </w:p>
        </w:tc>
        <w:tc>
          <w:tcPr>
            <w:tcW w:w="516" w:type="pct"/>
            <w:tcBorders>
              <w:top w:val="nil"/>
              <w:left w:val="nil"/>
              <w:bottom w:val="single" w:sz="4" w:space="0" w:color="auto"/>
              <w:right w:val="single" w:sz="8" w:space="0" w:color="auto"/>
            </w:tcBorders>
            <w:shd w:val="clear" w:color="auto" w:fill="auto"/>
            <w:vAlign w:val="center"/>
            <w:hideMark/>
          </w:tcPr>
          <w:p w14:paraId="18B5280C" w14:textId="77777777" w:rsidR="001540E7" w:rsidRPr="001540E7" w:rsidRDefault="001540E7" w:rsidP="001540E7">
            <w:pPr>
              <w:spacing w:after="0" w:line="240" w:lineRule="auto"/>
              <w:jc w:val="center"/>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w:t>
            </w:r>
          </w:p>
        </w:tc>
      </w:tr>
      <w:tr w:rsidR="001540E7" w:rsidRPr="001540E7" w14:paraId="234C4930" w14:textId="77777777" w:rsidTr="001540E7">
        <w:trPr>
          <w:trHeight w:val="270"/>
        </w:trPr>
        <w:tc>
          <w:tcPr>
            <w:tcW w:w="1320" w:type="pct"/>
            <w:tcBorders>
              <w:top w:val="nil"/>
              <w:left w:val="single" w:sz="8" w:space="0" w:color="auto"/>
              <w:bottom w:val="nil"/>
              <w:right w:val="nil"/>
            </w:tcBorders>
            <w:shd w:val="clear" w:color="auto" w:fill="auto"/>
            <w:vAlign w:val="center"/>
            <w:hideMark/>
          </w:tcPr>
          <w:p w14:paraId="158D91B5" w14:textId="77777777" w:rsidR="001540E7" w:rsidRPr="001540E7" w:rsidRDefault="001540E7" w:rsidP="001540E7">
            <w:pPr>
              <w:spacing w:after="0" w:line="240" w:lineRule="auto"/>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Development Expenditure</w:t>
            </w:r>
          </w:p>
        </w:tc>
        <w:tc>
          <w:tcPr>
            <w:tcW w:w="684" w:type="pct"/>
            <w:tcBorders>
              <w:top w:val="nil"/>
              <w:left w:val="single" w:sz="8" w:space="0" w:color="auto"/>
              <w:bottom w:val="nil"/>
              <w:right w:val="single" w:sz="8" w:space="0" w:color="auto"/>
            </w:tcBorders>
            <w:shd w:val="clear" w:color="auto" w:fill="auto"/>
            <w:vAlign w:val="center"/>
            <w:hideMark/>
          </w:tcPr>
          <w:p w14:paraId="731B859F"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412,491,600</w:t>
            </w:r>
          </w:p>
        </w:tc>
        <w:tc>
          <w:tcPr>
            <w:tcW w:w="826" w:type="pct"/>
            <w:tcBorders>
              <w:top w:val="nil"/>
              <w:left w:val="nil"/>
              <w:bottom w:val="nil"/>
              <w:right w:val="single" w:sz="8" w:space="0" w:color="auto"/>
            </w:tcBorders>
            <w:shd w:val="clear" w:color="auto" w:fill="auto"/>
            <w:vAlign w:val="center"/>
            <w:hideMark/>
          </w:tcPr>
          <w:p w14:paraId="01E21FCC"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4,693,387,113.47 </w:t>
            </w:r>
          </w:p>
        </w:tc>
        <w:tc>
          <w:tcPr>
            <w:tcW w:w="826" w:type="pct"/>
            <w:tcBorders>
              <w:top w:val="nil"/>
              <w:left w:val="nil"/>
              <w:bottom w:val="nil"/>
              <w:right w:val="single" w:sz="8" w:space="0" w:color="auto"/>
            </w:tcBorders>
            <w:shd w:val="clear" w:color="auto" w:fill="auto"/>
            <w:vAlign w:val="center"/>
            <w:hideMark/>
          </w:tcPr>
          <w:p w14:paraId="5AEA9253"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3,092,720,631.98 </w:t>
            </w:r>
          </w:p>
        </w:tc>
        <w:tc>
          <w:tcPr>
            <w:tcW w:w="826" w:type="pct"/>
            <w:tcBorders>
              <w:top w:val="nil"/>
              <w:left w:val="nil"/>
              <w:bottom w:val="nil"/>
              <w:right w:val="single" w:sz="8" w:space="0" w:color="auto"/>
            </w:tcBorders>
            <w:shd w:val="clear" w:color="auto" w:fill="auto"/>
            <w:vAlign w:val="center"/>
            <w:hideMark/>
          </w:tcPr>
          <w:p w14:paraId="73FC635A" w14:textId="77777777" w:rsidR="001540E7" w:rsidRPr="001540E7" w:rsidRDefault="001540E7" w:rsidP="001540E7">
            <w:pPr>
              <w:spacing w:after="0" w:line="240" w:lineRule="auto"/>
              <w:jc w:val="right"/>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xml:space="preserve">      (1,600,666,481.49)</w:t>
            </w:r>
          </w:p>
        </w:tc>
        <w:tc>
          <w:tcPr>
            <w:tcW w:w="516" w:type="pct"/>
            <w:tcBorders>
              <w:top w:val="nil"/>
              <w:left w:val="nil"/>
              <w:bottom w:val="single" w:sz="4" w:space="0" w:color="auto"/>
              <w:right w:val="single" w:sz="8" w:space="0" w:color="auto"/>
            </w:tcBorders>
            <w:shd w:val="clear" w:color="auto" w:fill="auto"/>
            <w:vAlign w:val="center"/>
            <w:hideMark/>
          </w:tcPr>
          <w:p w14:paraId="347C6570" w14:textId="77777777" w:rsidR="001540E7" w:rsidRPr="001540E7" w:rsidRDefault="001540E7" w:rsidP="001540E7">
            <w:pPr>
              <w:spacing w:after="0" w:line="240" w:lineRule="auto"/>
              <w:jc w:val="center"/>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66%</w:t>
            </w:r>
          </w:p>
        </w:tc>
      </w:tr>
      <w:tr w:rsidR="001540E7" w:rsidRPr="001540E7" w14:paraId="39067918" w14:textId="77777777" w:rsidTr="001540E7">
        <w:trPr>
          <w:trHeight w:val="270"/>
        </w:trPr>
        <w:tc>
          <w:tcPr>
            <w:tcW w:w="1320" w:type="pct"/>
            <w:tcBorders>
              <w:top w:val="single" w:sz="8" w:space="0" w:color="auto"/>
              <w:left w:val="single" w:sz="8" w:space="0" w:color="auto"/>
              <w:bottom w:val="single" w:sz="8" w:space="0" w:color="auto"/>
              <w:right w:val="nil"/>
            </w:tcBorders>
            <w:shd w:val="clear" w:color="auto" w:fill="auto"/>
            <w:vAlign w:val="center"/>
            <w:hideMark/>
          </w:tcPr>
          <w:p w14:paraId="40A08590" w14:textId="77777777" w:rsidR="001540E7" w:rsidRPr="001540E7" w:rsidRDefault="001540E7" w:rsidP="001540E7">
            <w:pPr>
              <w:spacing w:after="0" w:line="240" w:lineRule="auto"/>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Total Expenditure</w:t>
            </w:r>
          </w:p>
        </w:tc>
        <w:tc>
          <w:tcPr>
            <w:tcW w:w="684"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6930B7F5"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6,403,533,380</w:t>
            </w:r>
          </w:p>
        </w:tc>
        <w:tc>
          <w:tcPr>
            <w:tcW w:w="826" w:type="pct"/>
            <w:tcBorders>
              <w:top w:val="single" w:sz="8" w:space="0" w:color="auto"/>
              <w:left w:val="nil"/>
              <w:bottom w:val="single" w:sz="8" w:space="0" w:color="auto"/>
              <w:right w:val="single" w:sz="8" w:space="0" w:color="auto"/>
            </w:tcBorders>
            <w:shd w:val="clear" w:color="auto" w:fill="auto"/>
            <w:vAlign w:val="center"/>
            <w:hideMark/>
          </w:tcPr>
          <w:p w14:paraId="0D0E1942"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xml:space="preserve"> 12,556,097,825.03 </w:t>
            </w:r>
          </w:p>
        </w:tc>
        <w:tc>
          <w:tcPr>
            <w:tcW w:w="826" w:type="pct"/>
            <w:tcBorders>
              <w:top w:val="single" w:sz="8" w:space="0" w:color="auto"/>
              <w:left w:val="nil"/>
              <w:bottom w:val="single" w:sz="8" w:space="0" w:color="auto"/>
              <w:right w:val="single" w:sz="8" w:space="0" w:color="auto"/>
            </w:tcBorders>
            <w:shd w:val="clear" w:color="auto" w:fill="auto"/>
            <w:vAlign w:val="center"/>
            <w:hideMark/>
          </w:tcPr>
          <w:p w14:paraId="70EBB7FD"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xml:space="preserve"> 10,692,330,111.72 </w:t>
            </w:r>
          </w:p>
        </w:tc>
        <w:tc>
          <w:tcPr>
            <w:tcW w:w="826" w:type="pct"/>
            <w:tcBorders>
              <w:top w:val="single" w:sz="8" w:space="0" w:color="auto"/>
              <w:left w:val="nil"/>
              <w:bottom w:val="single" w:sz="8" w:space="0" w:color="auto"/>
              <w:right w:val="single" w:sz="8" w:space="0" w:color="auto"/>
            </w:tcBorders>
            <w:shd w:val="clear" w:color="auto" w:fill="auto"/>
            <w:vAlign w:val="center"/>
            <w:hideMark/>
          </w:tcPr>
          <w:p w14:paraId="1DFE5BE6"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xml:space="preserve">  (1,863,767,713.32)</w:t>
            </w:r>
          </w:p>
        </w:tc>
        <w:tc>
          <w:tcPr>
            <w:tcW w:w="516" w:type="pct"/>
            <w:tcBorders>
              <w:top w:val="nil"/>
              <w:left w:val="nil"/>
              <w:bottom w:val="single" w:sz="4" w:space="0" w:color="auto"/>
              <w:right w:val="single" w:sz="8" w:space="0" w:color="auto"/>
            </w:tcBorders>
            <w:shd w:val="clear" w:color="auto" w:fill="auto"/>
            <w:vAlign w:val="center"/>
            <w:hideMark/>
          </w:tcPr>
          <w:p w14:paraId="42184B1D" w14:textId="77777777" w:rsidR="001540E7" w:rsidRPr="001540E7" w:rsidRDefault="001540E7" w:rsidP="001540E7">
            <w:pPr>
              <w:spacing w:after="0" w:line="240" w:lineRule="auto"/>
              <w:jc w:val="center"/>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85%</w:t>
            </w:r>
          </w:p>
        </w:tc>
      </w:tr>
      <w:tr w:rsidR="001540E7" w:rsidRPr="001540E7" w14:paraId="47C2AD5C" w14:textId="77777777" w:rsidTr="001540E7">
        <w:trPr>
          <w:trHeight w:val="270"/>
        </w:trPr>
        <w:tc>
          <w:tcPr>
            <w:tcW w:w="1320" w:type="pct"/>
            <w:tcBorders>
              <w:top w:val="nil"/>
              <w:left w:val="single" w:sz="8" w:space="0" w:color="auto"/>
              <w:bottom w:val="nil"/>
              <w:right w:val="nil"/>
            </w:tcBorders>
            <w:shd w:val="clear" w:color="auto" w:fill="auto"/>
            <w:noWrap/>
            <w:vAlign w:val="bottom"/>
            <w:hideMark/>
          </w:tcPr>
          <w:p w14:paraId="4860543A" w14:textId="77777777" w:rsidR="001540E7" w:rsidRPr="001540E7" w:rsidRDefault="001540E7" w:rsidP="001540E7">
            <w:pPr>
              <w:spacing w:after="0" w:line="240" w:lineRule="auto"/>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w:t>
            </w:r>
          </w:p>
        </w:tc>
        <w:tc>
          <w:tcPr>
            <w:tcW w:w="684" w:type="pct"/>
            <w:tcBorders>
              <w:top w:val="nil"/>
              <w:left w:val="nil"/>
              <w:bottom w:val="nil"/>
              <w:right w:val="nil"/>
            </w:tcBorders>
            <w:shd w:val="clear" w:color="auto" w:fill="auto"/>
            <w:noWrap/>
            <w:vAlign w:val="bottom"/>
            <w:hideMark/>
          </w:tcPr>
          <w:p w14:paraId="328C0BFD" w14:textId="77777777" w:rsidR="001540E7" w:rsidRPr="001540E7" w:rsidRDefault="001540E7" w:rsidP="001540E7">
            <w:pPr>
              <w:spacing w:after="0" w:line="240" w:lineRule="auto"/>
              <w:rPr>
                <w:rFonts w:ascii="Times New Roman" w:eastAsia="Times New Roman" w:hAnsi="Times New Roman" w:cs="Times New Roman"/>
                <w:color w:val="000000"/>
                <w:sz w:val="18"/>
                <w:szCs w:val="18"/>
              </w:rPr>
            </w:pPr>
          </w:p>
        </w:tc>
        <w:tc>
          <w:tcPr>
            <w:tcW w:w="826" w:type="pct"/>
            <w:tcBorders>
              <w:top w:val="nil"/>
              <w:left w:val="nil"/>
              <w:bottom w:val="nil"/>
              <w:right w:val="nil"/>
            </w:tcBorders>
            <w:shd w:val="clear" w:color="auto" w:fill="auto"/>
            <w:noWrap/>
            <w:vAlign w:val="bottom"/>
            <w:hideMark/>
          </w:tcPr>
          <w:p w14:paraId="41B4B75C" w14:textId="77777777" w:rsidR="001540E7" w:rsidRPr="001540E7" w:rsidRDefault="001540E7" w:rsidP="001540E7">
            <w:pPr>
              <w:spacing w:after="0" w:line="240" w:lineRule="auto"/>
              <w:rPr>
                <w:rFonts w:ascii="Times New Roman" w:eastAsia="Times New Roman" w:hAnsi="Times New Roman" w:cs="Times New Roman"/>
                <w:color w:val="000000"/>
                <w:sz w:val="18"/>
                <w:szCs w:val="18"/>
              </w:rPr>
            </w:pPr>
          </w:p>
        </w:tc>
        <w:tc>
          <w:tcPr>
            <w:tcW w:w="826" w:type="pct"/>
            <w:tcBorders>
              <w:top w:val="nil"/>
              <w:left w:val="nil"/>
              <w:bottom w:val="nil"/>
              <w:right w:val="nil"/>
            </w:tcBorders>
            <w:shd w:val="clear" w:color="auto" w:fill="auto"/>
            <w:noWrap/>
            <w:vAlign w:val="bottom"/>
            <w:hideMark/>
          </w:tcPr>
          <w:p w14:paraId="4CEB2514" w14:textId="77777777" w:rsidR="001540E7" w:rsidRPr="001540E7" w:rsidRDefault="001540E7" w:rsidP="001540E7">
            <w:pPr>
              <w:spacing w:after="0" w:line="240" w:lineRule="auto"/>
              <w:rPr>
                <w:rFonts w:ascii="Times New Roman" w:eastAsia="Times New Roman" w:hAnsi="Times New Roman" w:cs="Times New Roman"/>
                <w:color w:val="000000"/>
                <w:sz w:val="18"/>
                <w:szCs w:val="18"/>
              </w:rPr>
            </w:pPr>
          </w:p>
        </w:tc>
        <w:tc>
          <w:tcPr>
            <w:tcW w:w="826" w:type="pct"/>
            <w:tcBorders>
              <w:top w:val="nil"/>
              <w:left w:val="nil"/>
              <w:bottom w:val="nil"/>
              <w:right w:val="nil"/>
            </w:tcBorders>
            <w:shd w:val="clear" w:color="auto" w:fill="auto"/>
            <w:noWrap/>
            <w:vAlign w:val="bottom"/>
            <w:hideMark/>
          </w:tcPr>
          <w:p w14:paraId="73FA563D" w14:textId="77777777" w:rsidR="001540E7" w:rsidRPr="001540E7" w:rsidRDefault="001540E7" w:rsidP="001540E7">
            <w:pPr>
              <w:spacing w:after="0" w:line="240" w:lineRule="auto"/>
              <w:rPr>
                <w:rFonts w:ascii="Times New Roman" w:eastAsia="Times New Roman" w:hAnsi="Times New Roman" w:cs="Times New Roman"/>
                <w:color w:val="000000"/>
                <w:sz w:val="18"/>
                <w:szCs w:val="18"/>
              </w:rPr>
            </w:pPr>
          </w:p>
        </w:tc>
        <w:tc>
          <w:tcPr>
            <w:tcW w:w="516" w:type="pct"/>
            <w:tcBorders>
              <w:top w:val="nil"/>
              <w:left w:val="nil"/>
              <w:bottom w:val="nil"/>
              <w:right w:val="single" w:sz="8" w:space="0" w:color="auto"/>
            </w:tcBorders>
            <w:shd w:val="clear" w:color="auto" w:fill="auto"/>
            <w:noWrap/>
            <w:vAlign w:val="bottom"/>
            <w:hideMark/>
          </w:tcPr>
          <w:p w14:paraId="65CB6A87" w14:textId="77777777" w:rsidR="001540E7" w:rsidRPr="001540E7" w:rsidRDefault="001540E7" w:rsidP="001540E7">
            <w:pPr>
              <w:spacing w:after="0" w:line="240" w:lineRule="auto"/>
              <w:rPr>
                <w:rFonts w:ascii="Times New Roman" w:eastAsia="Times New Roman" w:hAnsi="Times New Roman" w:cs="Times New Roman"/>
                <w:color w:val="000000"/>
                <w:sz w:val="18"/>
                <w:szCs w:val="18"/>
              </w:rPr>
            </w:pPr>
            <w:r w:rsidRPr="001540E7">
              <w:rPr>
                <w:rFonts w:ascii="Times New Roman" w:eastAsia="Times New Roman" w:hAnsi="Times New Roman" w:cs="Times New Roman"/>
                <w:color w:val="000000"/>
                <w:sz w:val="18"/>
                <w:szCs w:val="18"/>
              </w:rPr>
              <w:t> </w:t>
            </w:r>
          </w:p>
        </w:tc>
      </w:tr>
      <w:tr w:rsidR="001540E7" w:rsidRPr="001540E7" w14:paraId="62D4F0F3" w14:textId="77777777" w:rsidTr="001540E7">
        <w:trPr>
          <w:trHeight w:val="270"/>
        </w:trPr>
        <w:tc>
          <w:tcPr>
            <w:tcW w:w="1320" w:type="pct"/>
            <w:tcBorders>
              <w:top w:val="single" w:sz="8" w:space="0" w:color="auto"/>
              <w:left w:val="single" w:sz="8" w:space="0" w:color="auto"/>
              <w:bottom w:val="single" w:sz="8" w:space="0" w:color="auto"/>
              <w:right w:val="nil"/>
            </w:tcBorders>
            <w:shd w:val="clear" w:color="auto" w:fill="auto"/>
            <w:vAlign w:val="center"/>
            <w:hideMark/>
          </w:tcPr>
          <w:p w14:paraId="128186FB" w14:textId="77777777" w:rsidR="001540E7" w:rsidRPr="001540E7" w:rsidRDefault="001540E7" w:rsidP="001540E7">
            <w:pPr>
              <w:spacing w:after="0" w:line="240" w:lineRule="auto"/>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Funds Balance</w:t>
            </w:r>
          </w:p>
        </w:tc>
        <w:tc>
          <w:tcPr>
            <w:tcW w:w="684"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0E23F585"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826" w:type="pct"/>
            <w:tcBorders>
              <w:top w:val="single" w:sz="8" w:space="0" w:color="auto"/>
              <w:left w:val="nil"/>
              <w:bottom w:val="single" w:sz="8" w:space="0" w:color="auto"/>
              <w:right w:val="single" w:sz="8" w:space="0" w:color="auto"/>
            </w:tcBorders>
            <w:shd w:val="clear" w:color="auto" w:fill="auto"/>
            <w:vAlign w:val="center"/>
            <w:hideMark/>
          </w:tcPr>
          <w:p w14:paraId="148EBAD9"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826" w:type="pct"/>
            <w:tcBorders>
              <w:top w:val="single" w:sz="8" w:space="0" w:color="auto"/>
              <w:left w:val="nil"/>
              <w:bottom w:val="single" w:sz="8" w:space="0" w:color="auto"/>
              <w:right w:val="single" w:sz="8" w:space="0" w:color="auto"/>
            </w:tcBorders>
            <w:shd w:val="clear" w:color="auto" w:fill="auto"/>
            <w:vAlign w:val="center"/>
            <w:hideMark/>
          </w:tcPr>
          <w:p w14:paraId="42A2CDE8"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xml:space="preserve">       928,693,599.53 </w:t>
            </w:r>
          </w:p>
        </w:tc>
        <w:tc>
          <w:tcPr>
            <w:tcW w:w="826" w:type="pct"/>
            <w:tcBorders>
              <w:top w:val="single" w:sz="8" w:space="0" w:color="auto"/>
              <w:left w:val="nil"/>
              <w:bottom w:val="single" w:sz="8" w:space="0" w:color="auto"/>
              <w:right w:val="single" w:sz="8" w:space="0" w:color="auto"/>
            </w:tcBorders>
            <w:shd w:val="clear" w:color="auto" w:fill="auto"/>
            <w:vAlign w:val="center"/>
            <w:hideMark/>
          </w:tcPr>
          <w:p w14:paraId="7AC20429" w14:textId="77777777" w:rsidR="001540E7" w:rsidRPr="001540E7" w:rsidRDefault="001540E7" w:rsidP="001540E7">
            <w:pPr>
              <w:spacing w:after="0" w:line="240" w:lineRule="auto"/>
              <w:jc w:val="right"/>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c>
          <w:tcPr>
            <w:tcW w:w="516" w:type="pct"/>
            <w:tcBorders>
              <w:top w:val="single" w:sz="8" w:space="0" w:color="auto"/>
              <w:left w:val="nil"/>
              <w:bottom w:val="single" w:sz="8" w:space="0" w:color="auto"/>
              <w:right w:val="single" w:sz="8" w:space="0" w:color="auto"/>
            </w:tcBorders>
            <w:shd w:val="clear" w:color="auto" w:fill="auto"/>
            <w:vAlign w:val="center"/>
            <w:hideMark/>
          </w:tcPr>
          <w:p w14:paraId="002692A8" w14:textId="77777777" w:rsidR="001540E7" w:rsidRPr="001540E7" w:rsidRDefault="001540E7" w:rsidP="001540E7">
            <w:pPr>
              <w:spacing w:after="0" w:line="240" w:lineRule="auto"/>
              <w:jc w:val="center"/>
              <w:rPr>
                <w:rFonts w:ascii="Times New Roman" w:eastAsia="Times New Roman" w:hAnsi="Times New Roman" w:cs="Times New Roman"/>
                <w:b/>
                <w:bCs/>
                <w:color w:val="000000"/>
                <w:sz w:val="18"/>
                <w:szCs w:val="18"/>
              </w:rPr>
            </w:pPr>
            <w:r w:rsidRPr="001540E7">
              <w:rPr>
                <w:rFonts w:ascii="Times New Roman" w:eastAsia="Times New Roman" w:hAnsi="Times New Roman" w:cs="Times New Roman"/>
                <w:b/>
                <w:bCs/>
                <w:color w:val="000000"/>
                <w:sz w:val="18"/>
                <w:szCs w:val="18"/>
              </w:rPr>
              <w:t> </w:t>
            </w:r>
          </w:p>
        </w:tc>
      </w:tr>
    </w:tbl>
    <w:p w14:paraId="61C16FCC" w14:textId="6F6E5931" w:rsidR="002D3D3C" w:rsidRPr="00766EF1" w:rsidRDefault="002D3D3C" w:rsidP="00F263D6">
      <w:pPr>
        <w:spacing w:before="10" w:after="158" w:line="278" w:lineRule="exact"/>
        <w:rPr>
          <w:rFonts w:ascii="Times New Roman" w:hAnsi="Times New Roman" w:cs="Times New Roman"/>
          <w:b/>
          <w:bCs/>
          <w:sz w:val="24"/>
          <w:szCs w:val="24"/>
        </w:rPr>
      </w:pPr>
    </w:p>
    <w:p w14:paraId="092CDCBC" w14:textId="43F4C5C0" w:rsidR="00E402E9" w:rsidRDefault="00A8135F" w:rsidP="00A8135F">
      <w:pPr>
        <w:pStyle w:val="Heading2"/>
        <w:rPr>
          <w:rFonts w:ascii="Times New Roman" w:hAnsi="Times New Roman" w:cs="Times New Roman"/>
          <w:color w:val="auto"/>
          <w:sz w:val="24"/>
          <w:szCs w:val="24"/>
        </w:rPr>
      </w:pPr>
      <w:bookmarkStart w:id="57" w:name="_Toc23266826"/>
      <w:r>
        <w:rPr>
          <w:rFonts w:ascii="Times New Roman" w:hAnsi="Times New Roman" w:cs="Times New Roman"/>
          <w:color w:val="auto"/>
          <w:sz w:val="24"/>
          <w:szCs w:val="24"/>
        </w:rPr>
        <w:t xml:space="preserve">2.3 </w:t>
      </w:r>
      <w:r w:rsidR="00E402E9" w:rsidRPr="00A8135F">
        <w:rPr>
          <w:rFonts w:ascii="Times New Roman" w:hAnsi="Times New Roman" w:cs="Times New Roman"/>
          <w:color w:val="auto"/>
          <w:sz w:val="24"/>
          <w:szCs w:val="24"/>
        </w:rPr>
        <w:t>Revenue Performance</w:t>
      </w:r>
      <w:bookmarkEnd w:id="57"/>
    </w:p>
    <w:p w14:paraId="348B7CF3" w14:textId="4B7B7411" w:rsidR="005B4D06" w:rsidRDefault="005B4D06" w:rsidP="005B4D06">
      <w:pPr>
        <w:spacing w:before="200"/>
        <w:jc w:val="both"/>
        <w:rPr>
          <w:rFonts w:ascii="Times New Roman" w:hAnsi="Times New Roman" w:cs="Times New Roman"/>
          <w:sz w:val="24"/>
          <w:szCs w:val="24"/>
        </w:rPr>
      </w:pPr>
      <w:r w:rsidRPr="00766EF1">
        <w:rPr>
          <w:rFonts w:ascii="Times New Roman" w:hAnsi="Times New Roman" w:cs="Times New Roman"/>
          <w:sz w:val="24"/>
          <w:szCs w:val="24"/>
        </w:rPr>
        <w:t>From the table above</w:t>
      </w:r>
      <w:r>
        <w:rPr>
          <w:rFonts w:ascii="Times New Roman" w:hAnsi="Times New Roman" w:cs="Times New Roman"/>
          <w:sz w:val="24"/>
          <w:szCs w:val="24"/>
        </w:rPr>
        <w:t xml:space="preserve"> actual local revenue collected amounted to </w:t>
      </w:r>
      <w:r w:rsidR="00914039">
        <w:rPr>
          <w:rFonts w:ascii="Times New Roman" w:hAnsi="Times New Roman" w:cs="Times New Roman"/>
          <w:sz w:val="24"/>
          <w:szCs w:val="24"/>
        </w:rPr>
        <w:t>Kshs</w:t>
      </w:r>
      <w:r>
        <w:rPr>
          <w:rFonts w:ascii="Times New Roman" w:hAnsi="Times New Roman" w:cs="Times New Roman"/>
          <w:sz w:val="24"/>
          <w:szCs w:val="24"/>
        </w:rPr>
        <w:t xml:space="preserve">. 581,530,661 against a target of </w:t>
      </w:r>
      <w:r w:rsidR="00914039">
        <w:rPr>
          <w:rFonts w:ascii="Times New Roman" w:hAnsi="Times New Roman" w:cs="Times New Roman"/>
          <w:sz w:val="24"/>
          <w:szCs w:val="24"/>
        </w:rPr>
        <w:t>Kshs</w:t>
      </w:r>
      <w:r>
        <w:rPr>
          <w:rFonts w:ascii="Times New Roman" w:hAnsi="Times New Roman" w:cs="Times New Roman"/>
          <w:sz w:val="24"/>
          <w:szCs w:val="24"/>
        </w:rPr>
        <w:t>.</w:t>
      </w:r>
      <w:r w:rsidRPr="006870AA">
        <w:t xml:space="preserve"> </w:t>
      </w:r>
      <w:r w:rsidRPr="006870AA">
        <w:rPr>
          <w:rFonts w:ascii="Times New Roman" w:hAnsi="Times New Roman" w:cs="Times New Roman"/>
          <w:sz w:val="24"/>
          <w:szCs w:val="24"/>
        </w:rPr>
        <w:t>1</w:t>
      </w:r>
      <w:r>
        <w:rPr>
          <w:rFonts w:ascii="Times New Roman" w:hAnsi="Times New Roman" w:cs="Times New Roman"/>
          <w:sz w:val="24"/>
          <w:szCs w:val="24"/>
        </w:rPr>
        <w:t>,</w:t>
      </w:r>
      <w:r w:rsidRPr="006870AA">
        <w:rPr>
          <w:rFonts w:ascii="Times New Roman" w:hAnsi="Times New Roman" w:cs="Times New Roman"/>
          <w:sz w:val="24"/>
          <w:szCs w:val="24"/>
        </w:rPr>
        <w:t>108</w:t>
      </w:r>
      <w:r>
        <w:rPr>
          <w:rFonts w:ascii="Times New Roman" w:hAnsi="Times New Roman" w:cs="Times New Roman"/>
          <w:sz w:val="24"/>
          <w:szCs w:val="24"/>
        </w:rPr>
        <w:t>,7</w:t>
      </w:r>
      <w:r w:rsidRPr="006870AA">
        <w:rPr>
          <w:rFonts w:ascii="Times New Roman" w:hAnsi="Times New Roman" w:cs="Times New Roman"/>
          <w:sz w:val="24"/>
          <w:szCs w:val="24"/>
        </w:rPr>
        <w:t>96</w:t>
      </w:r>
      <w:r>
        <w:rPr>
          <w:rFonts w:ascii="Times New Roman" w:hAnsi="Times New Roman" w:cs="Times New Roman"/>
          <w:sz w:val="24"/>
          <w:szCs w:val="24"/>
        </w:rPr>
        <w:t>,</w:t>
      </w:r>
      <w:r w:rsidRPr="006870AA">
        <w:rPr>
          <w:rFonts w:ascii="Times New Roman" w:hAnsi="Times New Roman" w:cs="Times New Roman"/>
          <w:sz w:val="24"/>
          <w:szCs w:val="24"/>
        </w:rPr>
        <w:t>286.04</w:t>
      </w:r>
      <w:r>
        <w:rPr>
          <w:rFonts w:ascii="Times New Roman" w:hAnsi="Times New Roman" w:cs="Times New Roman"/>
          <w:sz w:val="24"/>
          <w:szCs w:val="24"/>
        </w:rPr>
        <w:t xml:space="preserve"> hence a shortfall of</w:t>
      </w:r>
      <w:r w:rsidRPr="00766EF1">
        <w:rPr>
          <w:rFonts w:ascii="Times New Roman" w:hAnsi="Times New Roman" w:cs="Times New Roman"/>
          <w:sz w:val="24"/>
          <w:szCs w:val="24"/>
        </w:rPr>
        <w:t xml:space="preserve"> </w:t>
      </w:r>
      <w:r w:rsidR="00914039">
        <w:rPr>
          <w:rFonts w:ascii="Times New Roman" w:hAnsi="Times New Roman" w:cs="Times New Roman"/>
          <w:sz w:val="24"/>
          <w:szCs w:val="24"/>
        </w:rPr>
        <w:t>Kshs</w:t>
      </w:r>
      <w:r>
        <w:rPr>
          <w:rFonts w:ascii="Times New Roman" w:hAnsi="Times New Roman" w:cs="Times New Roman"/>
          <w:sz w:val="24"/>
          <w:szCs w:val="24"/>
        </w:rPr>
        <w:t xml:space="preserve">.527, 265,625 million. </w:t>
      </w:r>
      <w:r w:rsidR="00914039">
        <w:rPr>
          <w:rFonts w:ascii="Times New Roman" w:hAnsi="Times New Roman" w:cs="Times New Roman"/>
          <w:sz w:val="24"/>
          <w:szCs w:val="24"/>
        </w:rPr>
        <w:t>Kshs</w:t>
      </w:r>
      <w:r>
        <w:rPr>
          <w:rFonts w:ascii="Times New Roman" w:hAnsi="Times New Roman" w:cs="Times New Roman"/>
          <w:sz w:val="24"/>
          <w:szCs w:val="24"/>
        </w:rPr>
        <w:t xml:space="preserve">. 581,530,661 is inclusive of </w:t>
      </w:r>
      <w:r w:rsidR="00914039">
        <w:rPr>
          <w:rFonts w:ascii="Times New Roman" w:hAnsi="Times New Roman" w:cs="Times New Roman"/>
          <w:sz w:val="24"/>
          <w:szCs w:val="24"/>
        </w:rPr>
        <w:t>Kshs</w:t>
      </w:r>
      <w:r>
        <w:rPr>
          <w:rFonts w:ascii="Times New Roman" w:hAnsi="Times New Roman" w:cs="Times New Roman"/>
          <w:sz w:val="24"/>
          <w:szCs w:val="24"/>
        </w:rPr>
        <w:t>.543, 575,258.25 as reven</w:t>
      </w:r>
      <w:r w:rsidR="002479EA">
        <w:rPr>
          <w:rFonts w:ascii="Times New Roman" w:hAnsi="Times New Roman" w:cs="Times New Roman"/>
          <w:sz w:val="24"/>
          <w:szCs w:val="24"/>
        </w:rPr>
        <w:t xml:space="preserve">ue generated from local revenue </w:t>
      </w:r>
      <w:r>
        <w:rPr>
          <w:rFonts w:ascii="Times New Roman" w:hAnsi="Times New Roman" w:cs="Times New Roman"/>
          <w:sz w:val="24"/>
          <w:szCs w:val="24"/>
        </w:rPr>
        <w:t xml:space="preserve">streams, </w:t>
      </w:r>
      <w:r w:rsidR="00914039">
        <w:rPr>
          <w:rFonts w:ascii="Times New Roman" w:hAnsi="Times New Roman" w:cs="Times New Roman"/>
          <w:sz w:val="24"/>
          <w:szCs w:val="24"/>
        </w:rPr>
        <w:t>Kshs</w:t>
      </w:r>
      <w:r>
        <w:rPr>
          <w:rFonts w:ascii="Times New Roman" w:hAnsi="Times New Roman" w:cs="Times New Roman"/>
          <w:sz w:val="24"/>
          <w:szCs w:val="24"/>
        </w:rPr>
        <w:t xml:space="preserve">. </w:t>
      </w:r>
      <w:r w:rsidRPr="00605D3B">
        <w:rPr>
          <w:rFonts w:ascii="Times New Roman" w:hAnsi="Times New Roman" w:cs="Times New Roman"/>
          <w:sz w:val="24"/>
          <w:szCs w:val="24"/>
        </w:rPr>
        <w:t>13,632,081.00</w:t>
      </w:r>
      <w:r>
        <w:rPr>
          <w:rFonts w:ascii="Times New Roman" w:hAnsi="Times New Roman" w:cs="Times New Roman"/>
          <w:sz w:val="24"/>
          <w:szCs w:val="24"/>
        </w:rPr>
        <w:t xml:space="preserve"> </w:t>
      </w:r>
      <w:r w:rsidRPr="00605D3B">
        <w:rPr>
          <w:rFonts w:ascii="Times New Roman" w:hAnsi="Times New Roman" w:cs="Times New Roman"/>
          <w:sz w:val="24"/>
          <w:szCs w:val="24"/>
        </w:rPr>
        <w:t>AMS Mitunguu &amp; Kaguru ATC</w:t>
      </w:r>
      <w:r>
        <w:rPr>
          <w:rFonts w:ascii="Times New Roman" w:hAnsi="Times New Roman" w:cs="Times New Roman"/>
          <w:sz w:val="24"/>
          <w:szCs w:val="24"/>
        </w:rPr>
        <w:t xml:space="preserve"> and </w:t>
      </w:r>
      <w:r w:rsidR="00914039">
        <w:rPr>
          <w:rFonts w:ascii="Times New Roman" w:hAnsi="Times New Roman" w:cs="Times New Roman"/>
          <w:sz w:val="24"/>
          <w:szCs w:val="24"/>
        </w:rPr>
        <w:t>Kshs</w:t>
      </w:r>
      <w:r>
        <w:rPr>
          <w:rFonts w:ascii="Times New Roman" w:hAnsi="Times New Roman" w:cs="Times New Roman"/>
          <w:sz w:val="24"/>
          <w:szCs w:val="24"/>
        </w:rPr>
        <w:t>.</w:t>
      </w:r>
      <w:r w:rsidRPr="00605D3B">
        <w:rPr>
          <w:rFonts w:ascii="Times New Roman" w:hAnsi="Times New Roman" w:cs="Times New Roman"/>
          <w:sz w:val="24"/>
          <w:szCs w:val="24"/>
        </w:rPr>
        <w:t xml:space="preserve"> 24,323,322.00</w:t>
      </w:r>
      <w:r>
        <w:rPr>
          <w:rFonts w:ascii="Times New Roman" w:hAnsi="Times New Roman" w:cs="Times New Roman"/>
          <w:sz w:val="24"/>
          <w:szCs w:val="24"/>
        </w:rPr>
        <w:t xml:space="preserve"> from public health services.</w:t>
      </w:r>
    </w:p>
    <w:p w14:paraId="66454806" w14:textId="7336169E" w:rsidR="005B4D06" w:rsidRPr="00DD1F09" w:rsidRDefault="005B4D06" w:rsidP="00DD1F09">
      <w:pPr>
        <w:spacing w:before="200" w:line="360" w:lineRule="auto"/>
        <w:jc w:val="both"/>
        <w:rPr>
          <w:rFonts w:ascii="Times New Roman" w:hAnsi="Times New Roman" w:cs="Times New Roman"/>
          <w:sz w:val="24"/>
          <w:szCs w:val="24"/>
        </w:rPr>
      </w:pPr>
      <w:r w:rsidRPr="00766EF1">
        <w:rPr>
          <w:rFonts w:ascii="Times New Roman" w:hAnsi="Times New Roman" w:cs="Times New Roman"/>
          <w:sz w:val="24"/>
          <w:szCs w:val="24"/>
        </w:rPr>
        <w:lastRenderedPageBreak/>
        <w:t xml:space="preserve"> </w:t>
      </w:r>
      <w:r w:rsidRPr="00DD1F09">
        <w:rPr>
          <w:rFonts w:ascii="Times New Roman" w:hAnsi="Times New Roman" w:cs="Times New Roman"/>
          <w:sz w:val="24"/>
          <w:szCs w:val="24"/>
        </w:rPr>
        <w:t xml:space="preserve">The shortfall of </w:t>
      </w:r>
      <w:r w:rsidR="00914039" w:rsidRPr="00DD1F09">
        <w:rPr>
          <w:rFonts w:ascii="Times New Roman" w:hAnsi="Times New Roman" w:cs="Times New Roman"/>
          <w:sz w:val="24"/>
          <w:szCs w:val="24"/>
        </w:rPr>
        <w:t>Kshs</w:t>
      </w:r>
      <w:r w:rsidRPr="00DD1F09">
        <w:rPr>
          <w:rFonts w:ascii="Times New Roman" w:hAnsi="Times New Roman" w:cs="Times New Roman"/>
          <w:sz w:val="24"/>
          <w:szCs w:val="24"/>
        </w:rPr>
        <w:t>. 527,265,625 million was attributed</w:t>
      </w:r>
      <w:r w:rsidR="009E5B0D">
        <w:rPr>
          <w:rFonts w:ascii="Times New Roman" w:hAnsi="Times New Roman" w:cs="Times New Roman"/>
          <w:sz w:val="24"/>
          <w:szCs w:val="24"/>
        </w:rPr>
        <w:t xml:space="preserve"> </w:t>
      </w:r>
      <w:r w:rsidRPr="00DD1F09">
        <w:rPr>
          <w:rFonts w:ascii="Times New Roman" w:hAnsi="Times New Roman" w:cs="Times New Roman"/>
          <w:sz w:val="24"/>
          <w:szCs w:val="24"/>
        </w:rPr>
        <w:t>mainly by; lack of updated valuation roll which was to help in maximizing plot and land rates;</w:t>
      </w:r>
      <w:r w:rsidR="00DD1F09">
        <w:rPr>
          <w:rFonts w:ascii="Times New Roman" w:hAnsi="Times New Roman" w:cs="Times New Roman"/>
          <w:sz w:val="24"/>
          <w:szCs w:val="24"/>
        </w:rPr>
        <w:t xml:space="preserve"> </w:t>
      </w:r>
      <w:r w:rsidRPr="00DD1F09">
        <w:rPr>
          <w:rFonts w:ascii="Times New Roman" w:hAnsi="Times New Roman" w:cs="Times New Roman"/>
          <w:sz w:val="24"/>
          <w:szCs w:val="24"/>
        </w:rPr>
        <w:t>all revenue streams not fully automated,</w:t>
      </w:r>
      <w:r w:rsidRPr="00DD1F09">
        <w:rPr>
          <w:rFonts w:ascii="Times New Roman" w:hAnsi="Times New Roman" w:cs="Times New Roman"/>
          <w:color w:val="000000"/>
          <w:w w:val="116"/>
          <w:sz w:val="24"/>
          <w:szCs w:val="24"/>
        </w:rPr>
        <w:t xml:space="preserve"> </w:t>
      </w:r>
      <w:r w:rsidR="00DD1F09">
        <w:rPr>
          <w:rFonts w:ascii="Times New Roman" w:hAnsi="Times New Roman" w:cs="Times New Roman"/>
          <w:color w:val="000000"/>
          <w:w w:val="116"/>
          <w:sz w:val="24"/>
          <w:szCs w:val="24"/>
        </w:rPr>
        <w:t>o</w:t>
      </w:r>
      <w:r w:rsidRPr="00DD1F09">
        <w:rPr>
          <w:rFonts w:ascii="Times New Roman" w:hAnsi="Times New Roman" w:cs="Times New Roman"/>
          <w:color w:val="000000"/>
          <w:w w:val="116"/>
          <w:sz w:val="24"/>
          <w:szCs w:val="24"/>
        </w:rPr>
        <w:t>ver-optimistic projections and inadequate staff.</w:t>
      </w:r>
    </w:p>
    <w:p w14:paraId="4BC736BB" w14:textId="7160AF6E" w:rsidR="005B4D06" w:rsidRPr="005B4D06" w:rsidRDefault="005B4D06" w:rsidP="005B4D06">
      <w:r w:rsidRPr="00766EF1">
        <w:rPr>
          <w:rFonts w:ascii="Times New Roman" w:hAnsi="Times New Roman" w:cs="Times New Roman"/>
          <w:sz w:val="24"/>
          <w:szCs w:val="24"/>
        </w:rPr>
        <w:t>As noted, in</w:t>
      </w:r>
      <w:r>
        <w:rPr>
          <w:rFonts w:ascii="Times New Roman" w:hAnsi="Times New Roman" w:cs="Times New Roman"/>
          <w:sz w:val="24"/>
          <w:szCs w:val="24"/>
        </w:rPr>
        <w:t xml:space="preserve"> the table above</w:t>
      </w:r>
      <w:r w:rsidRPr="00766EF1">
        <w:rPr>
          <w:rFonts w:ascii="Times New Roman" w:hAnsi="Times New Roman" w:cs="Times New Roman"/>
          <w:sz w:val="24"/>
          <w:szCs w:val="24"/>
        </w:rPr>
        <w:t xml:space="preserve">, the </w:t>
      </w:r>
      <w:r w:rsidR="00E03DDC">
        <w:rPr>
          <w:rFonts w:ascii="Times New Roman" w:hAnsi="Times New Roman" w:cs="Times New Roman"/>
          <w:sz w:val="24"/>
          <w:szCs w:val="24"/>
        </w:rPr>
        <w:t>C</w:t>
      </w:r>
      <w:r w:rsidRPr="00766EF1">
        <w:rPr>
          <w:rFonts w:ascii="Times New Roman" w:hAnsi="Times New Roman" w:cs="Times New Roman"/>
          <w:sz w:val="24"/>
          <w:szCs w:val="24"/>
        </w:rPr>
        <w:t>ounty</w:t>
      </w:r>
      <w:r>
        <w:rPr>
          <w:rFonts w:ascii="Times New Roman" w:hAnsi="Times New Roman" w:cs="Times New Roman"/>
          <w:sz w:val="24"/>
          <w:szCs w:val="24"/>
        </w:rPr>
        <w:t>, during the FY 2018/19</w:t>
      </w:r>
      <w:r w:rsidRPr="00766EF1">
        <w:rPr>
          <w:rFonts w:ascii="Times New Roman" w:hAnsi="Times New Roman" w:cs="Times New Roman"/>
          <w:sz w:val="24"/>
          <w:szCs w:val="24"/>
        </w:rPr>
        <w:t xml:space="preserve"> rece</w:t>
      </w:r>
      <w:r>
        <w:rPr>
          <w:rFonts w:ascii="Times New Roman" w:hAnsi="Times New Roman" w:cs="Times New Roman"/>
          <w:sz w:val="24"/>
          <w:szCs w:val="24"/>
        </w:rPr>
        <w:t>ived an equitable share</w:t>
      </w:r>
      <w:r w:rsidRPr="00766EF1">
        <w:rPr>
          <w:rFonts w:ascii="Times New Roman" w:hAnsi="Times New Roman" w:cs="Times New Roman"/>
          <w:sz w:val="24"/>
          <w:szCs w:val="24"/>
        </w:rPr>
        <w:t xml:space="preserve"> </w:t>
      </w:r>
      <w:r>
        <w:rPr>
          <w:rFonts w:ascii="Times New Roman" w:hAnsi="Times New Roman" w:cs="Times New Roman"/>
          <w:sz w:val="24"/>
          <w:szCs w:val="24"/>
        </w:rPr>
        <w:t xml:space="preserve">of </w:t>
      </w:r>
      <w:r w:rsidR="00914039">
        <w:rPr>
          <w:rFonts w:ascii="Times New Roman" w:hAnsi="Times New Roman" w:cs="Times New Roman"/>
          <w:sz w:val="24"/>
          <w:szCs w:val="24"/>
        </w:rPr>
        <w:t>Kshs</w:t>
      </w:r>
      <w:r>
        <w:rPr>
          <w:rFonts w:ascii="Times New Roman" w:hAnsi="Times New Roman" w:cs="Times New Roman"/>
          <w:sz w:val="24"/>
          <w:szCs w:val="24"/>
        </w:rPr>
        <w:t>. 8,007</w:t>
      </w:r>
      <w:r w:rsidRPr="00766EF1">
        <w:rPr>
          <w:rFonts w:ascii="Times New Roman" w:hAnsi="Times New Roman" w:cs="Times New Roman"/>
          <w:sz w:val="24"/>
          <w:szCs w:val="24"/>
        </w:rPr>
        <w:t xml:space="preserve">,000,000. More so, grants of </w:t>
      </w:r>
      <w:r w:rsidR="00914039">
        <w:rPr>
          <w:rFonts w:ascii="Times New Roman" w:hAnsi="Times New Roman" w:cs="Times New Roman"/>
          <w:sz w:val="24"/>
          <w:szCs w:val="24"/>
        </w:rPr>
        <w:t>Kshs</w:t>
      </w:r>
      <w:r w:rsidRPr="00766EF1">
        <w:rPr>
          <w:rFonts w:ascii="Times New Roman" w:hAnsi="Times New Roman" w:cs="Times New Roman"/>
          <w:sz w:val="24"/>
          <w:szCs w:val="24"/>
        </w:rPr>
        <w:t xml:space="preserve">. </w:t>
      </w:r>
      <w:r w:rsidR="004000F2" w:rsidRPr="004000F2">
        <w:rPr>
          <w:rFonts w:ascii="Times New Roman" w:hAnsi="Times New Roman" w:cs="Times New Roman"/>
          <w:sz w:val="24"/>
          <w:szCs w:val="24"/>
        </w:rPr>
        <w:t xml:space="preserve">926,039,659.00 </w:t>
      </w:r>
      <w:r w:rsidRPr="00766EF1">
        <w:rPr>
          <w:rFonts w:ascii="Times New Roman" w:hAnsi="Times New Roman" w:cs="Times New Roman"/>
          <w:sz w:val="24"/>
          <w:szCs w:val="24"/>
        </w:rPr>
        <w:t xml:space="preserve">were received against a target of </w:t>
      </w:r>
      <w:r w:rsidR="00914039">
        <w:rPr>
          <w:rFonts w:ascii="Times New Roman" w:hAnsi="Times New Roman" w:cs="Times New Roman"/>
          <w:sz w:val="24"/>
          <w:szCs w:val="24"/>
        </w:rPr>
        <w:t>Kshs</w:t>
      </w:r>
      <w:r w:rsidRPr="00766EF1">
        <w:rPr>
          <w:rFonts w:ascii="Times New Roman" w:hAnsi="Times New Roman" w:cs="Times New Roman"/>
          <w:sz w:val="24"/>
          <w:szCs w:val="24"/>
        </w:rPr>
        <w:t xml:space="preserve">. </w:t>
      </w:r>
      <w:r w:rsidRPr="00621F66">
        <w:rPr>
          <w:rFonts w:ascii="Times New Roman" w:hAnsi="Times New Roman" w:cs="Times New Roman"/>
          <w:sz w:val="24"/>
          <w:szCs w:val="24"/>
        </w:rPr>
        <w:t>1,401,634,451.00</w:t>
      </w:r>
      <w:r w:rsidR="004000F2">
        <w:rPr>
          <w:rFonts w:ascii="Times New Roman" w:hAnsi="Times New Roman" w:cs="Times New Roman"/>
          <w:sz w:val="24"/>
          <w:szCs w:val="24"/>
        </w:rPr>
        <w:t xml:space="preserve"> translating into shortfall of Kshs. 475,594,792.00</w:t>
      </w:r>
      <w:r w:rsidRPr="00621F66">
        <w:rPr>
          <w:rFonts w:ascii="Times New Roman" w:hAnsi="Times New Roman" w:cs="Times New Roman"/>
          <w:sz w:val="24"/>
          <w:szCs w:val="24"/>
        </w:rPr>
        <w:t xml:space="preserve">. </w:t>
      </w:r>
      <w:r>
        <w:rPr>
          <w:rFonts w:ascii="Times New Roman" w:hAnsi="Times New Roman" w:cs="Times New Roman"/>
          <w:sz w:val="24"/>
          <w:szCs w:val="24"/>
        </w:rPr>
        <w:t xml:space="preserve">The shortfall in grants was due to delay in disbursement </w:t>
      </w:r>
      <w:r w:rsidR="001540E7">
        <w:rPr>
          <w:rFonts w:ascii="Times New Roman" w:hAnsi="Times New Roman" w:cs="Times New Roman"/>
          <w:sz w:val="24"/>
          <w:szCs w:val="24"/>
        </w:rPr>
        <w:t>of the</w:t>
      </w:r>
      <w:r w:rsidR="004000F2">
        <w:rPr>
          <w:rFonts w:ascii="Times New Roman" w:hAnsi="Times New Roman" w:cs="Times New Roman"/>
          <w:sz w:val="24"/>
          <w:szCs w:val="24"/>
        </w:rPr>
        <w:t xml:space="preserve"> budgeted </w:t>
      </w:r>
      <w:r>
        <w:rPr>
          <w:rFonts w:ascii="Times New Roman" w:hAnsi="Times New Roman" w:cs="Times New Roman"/>
          <w:sz w:val="24"/>
          <w:szCs w:val="24"/>
        </w:rPr>
        <w:t>funds by</w:t>
      </w:r>
      <w:r w:rsidR="009E5B0D">
        <w:rPr>
          <w:rFonts w:ascii="Times New Roman" w:hAnsi="Times New Roman" w:cs="Times New Roman"/>
          <w:sz w:val="24"/>
          <w:szCs w:val="24"/>
        </w:rPr>
        <w:t xml:space="preserve"> </w:t>
      </w:r>
      <w:r w:rsidR="00E03DDC">
        <w:rPr>
          <w:rFonts w:ascii="Times New Roman" w:hAnsi="Times New Roman" w:cs="Times New Roman"/>
          <w:sz w:val="24"/>
          <w:szCs w:val="24"/>
        </w:rPr>
        <w:t>the</w:t>
      </w:r>
      <w:r>
        <w:rPr>
          <w:rFonts w:ascii="Times New Roman" w:hAnsi="Times New Roman" w:cs="Times New Roman"/>
          <w:sz w:val="24"/>
          <w:szCs w:val="24"/>
        </w:rPr>
        <w:t xml:space="preserve"> </w:t>
      </w:r>
      <w:r w:rsidR="00E03DDC">
        <w:rPr>
          <w:rFonts w:ascii="Times New Roman" w:hAnsi="Times New Roman" w:cs="Times New Roman"/>
          <w:sz w:val="24"/>
          <w:szCs w:val="24"/>
        </w:rPr>
        <w:t>N</w:t>
      </w:r>
      <w:r>
        <w:rPr>
          <w:rFonts w:ascii="Times New Roman" w:hAnsi="Times New Roman" w:cs="Times New Roman"/>
          <w:sz w:val="24"/>
          <w:szCs w:val="24"/>
        </w:rPr>
        <w:t xml:space="preserve">ational </w:t>
      </w:r>
      <w:r w:rsidR="00E03DDC">
        <w:rPr>
          <w:rFonts w:ascii="Times New Roman" w:hAnsi="Times New Roman" w:cs="Times New Roman"/>
          <w:sz w:val="24"/>
          <w:szCs w:val="24"/>
        </w:rPr>
        <w:t>T</w:t>
      </w:r>
      <w:r>
        <w:rPr>
          <w:rFonts w:ascii="Times New Roman" w:hAnsi="Times New Roman" w:cs="Times New Roman"/>
          <w:sz w:val="24"/>
          <w:szCs w:val="24"/>
        </w:rPr>
        <w:t>reasury.</w:t>
      </w:r>
    </w:p>
    <w:p w14:paraId="734C8962" w14:textId="471809BA" w:rsidR="006F5F97" w:rsidRPr="00766EF1" w:rsidRDefault="00C900E4" w:rsidP="006F5F97">
      <w:pPr>
        <w:rPr>
          <w:rFonts w:ascii="Times New Roman" w:hAnsi="Times New Roman" w:cs="Times New Roman"/>
          <w:sz w:val="24"/>
          <w:szCs w:val="24"/>
        </w:rPr>
      </w:pPr>
      <w:r w:rsidRPr="00766EF1">
        <w:rPr>
          <w:rFonts w:ascii="Times New Roman" w:hAnsi="Times New Roman" w:cs="Times New Roman"/>
          <w:sz w:val="24"/>
          <w:szCs w:val="24"/>
        </w:rPr>
        <w:t>Table 2.2</w:t>
      </w:r>
      <w:r w:rsidR="00F76032" w:rsidRPr="00766EF1">
        <w:rPr>
          <w:rFonts w:ascii="Times New Roman" w:hAnsi="Times New Roman" w:cs="Times New Roman"/>
          <w:sz w:val="24"/>
          <w:szCs w:val="24"/>
        </w:rPr>
        <w:t xml:space="preserve"> shows the quarterly trend in</w:t>
      </w:r>
      <w:r w:rsidR="00E03DDC">
        <w:rPr>
          <w:rFonts w:ascii="Times New Roman" w:hAnsi="Times New Roman" w:cs="Times New Roman"/>
          <w:sz w:val="24"/>
          <w:szCs w:val="24"/>
        </w:rPr>
        <w:t xml:space="preserve"> local</w:t>
      </w:r>
      <w:r w:rsidR="00F76032" w:rsidRPr="00766EF1">
        <w:rPr>
          <w:rFonts w:ascii="Times New Roman" w:hAnsi="Times New Roman" w:cs="Times New Roman"/>
          <w:sz w:val="24"/>
          <w:szCs w:val="24"/>
        </w:rPr>
        <w:t xml:space="preserve"> revenue</w:t>
      </w:r>
      <w:r w:rsidR="00E03DDC">
        <w:rPr>
          <w:rFonts w:ascii="Times New Roman" w:hAnsi="Times New Roman" w:cs="Times New Roman"/>
          <w:sz w:val="24"/>
          <w:szCs w:val="24"/>
        </w:rPr>
        <w:t>s</w:t>
      </w:r>
      <w:r w:rsidR="00F76032" w:rsidRPr="00766EF1">
        <w:rPr>
          <w:rFonts w:ascii="Times New Roman" w:hAnsi="Times New Roman" w:cs="Times New Roman"/>
          <w:sz w:val="24"/>
          <w:szCs w:val="24"/>
        </w:rPr>
        <w:t xml:space="preserve"> collection</w:t>
      </w:r>
      <w:r w:rsidRPr="00766EF1">
        <w:rPr>
          <w:rFonts w:ascii="Times New Roman" w:hAnsi="Times New Roman" w:cs="Times New Roman"/>
          <w:sz w:val="24"/>
          <w:szCs w:val="24"/>
        </w:rPr>
        <w:t xml:space="preserve"> per quarter for FY </w:t>
      </w:r>
      <w:r w:rsidR="00F20A04">
        <w:rPr>
          <w:rFonts w:ascii="Times New Roman" w:hAnsi="Times New Roman" w:cs="Times New Roman"/>
          <w:sz w:val="24"/>
          <w:szCs w:val="24"/>
        </w:rPr>
        <w:t>2018/2019</w:t>
      </w:r>
      <w:r w:rsidRPr="00766EF1">
        <w:rPr>
          <w:rFonts w:ascii="Times New Roman" w:hAnsi="Times New Roman" w:cs="Times New Roman"/>
          <w:sz w:val="24"/>
          <w:szCs w:val="24"/>
        </w:rPr>
        <w:t xml:space="preserve"> per revenue stream. </w:t>
      </w:r>
      <w:r w:rsidR="00F76032" w:rsidRPr="00766EF1">
        <w:rPr>
          <w:rFonts w:ascii="Times New Roman" w:hAnsi="Times New Roman" w:cs="Times New Roman"/>
          <w:sz w:val="24"/>
          <w:szCs w:val="24"/>
        </w:rPr>
        <w:t xml:space="preserve"> </w:t>
      </w:r>
    </w:p>
    <w:p w14:paraId="0E5675E7" w14:textId="5A3F6751" w:rsidR="00A92148" w:rsidRDefault="00A92148" w:rsidP="006F5F97">
      <w:pPr>
        <w:rPr>
          <w:rFonts w:ascii="Times New Roman" w:hAnsi="Times New Roman" w:cs="Times New Roman"/>
          <w:b/>
          <w:bCs/>
          <w:sz w:val="24"/>
          <w:szCs w:val="24"/>
        </w:rPr>
      </w:pPr>
      <w:r w:rsidRPr="00766EF1">
        <w:rPr>
          <w:rFonts w:ascii="Times New Roman" w:hAnsi="Times New Roman" w:cs="Times New Roman"/>
          <w:b/>
          <w:bCs/>
          <w:sz w:val="24"/>
          <w:szCs w:val="24"/>
        </w:rPr>
        <w:t>Table 2.2 Revenue Performance per stream</w:t>
      </w:r>
    </w:p>
    <w:p w14:paraId="08023341" w14:textId="17A077E7" w:rsidR="00D91DD9" w:rsidRPr="00766EF1" w:rsidRDefault="004A5BC7" w:rsidP="006F5F97">
      <w:pPr>
        <w:rPr>
          <w:rFonts w:ascii="Times New Roman" w:hAnsi="Times New Roman" w:cs="Times New Roman"/>
          <w:sz w:val="24"/>
          <w:szCs w:val="24"/>
        </w:rPr>
      </w:pPr>
      <w:r w:rsidRPr="004A5BC7">
        <w:rPr>
          <w:noProof/>
        </w:rPr>
        <w:drawing>
          <wp:inline distT="0" distB="0" distL="0" distR="0" wp14:anchorId="0DB182CE" wp14:editId="2EEFDCEC">
            <wp:extent cx="6346371" cy="5758543"/>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341253" cy="5753899"/>
                    </a:xfrm>
                    <a:prstGeom prst="rect">
                      <a:avLst/>
                    </a:prstGeom>
                    <a:noFill/>
                    <a:ln>
                      <a:noFill/>
                    </a:ln>
                  </pic:spPr>
                </pic:pic>
              </a:graphicData>
            </a:graphic>
          </wp:inline>
        </w:drawing>
      </w:r>
    </w:p>
    <w:p w14:paraId="072AFF3E" w14:textId="05AB82EF" w:rsidR="00E03DDC" w:rsidRPr="00766EF1" w:rsidRDefault="00673E01" w:rsidP="008147CF">
      <w:pPr>
        <w:spacing w:before="240" w:after="240" w:line="240" w:lineRule="auto"/>
        <w:jc w:val="both"/>
        <w:rPr>
          <w:rFonts w:ascii="Times New Roman" w:hAnsi="Times New Roman" w:cs="Times New Roman"/>
          <w:sz w:val="24"/>
          <w:szCs w:val="24"/>
        </w:rPr>
      </w:pPr>
      <w:r w:rsidRPr="00766EF1">
        <w:rPr>
          <w:rFonts w:ascii="Times New Roman" w:hAnsi="Times New Roman" w:cs="Times New Roman"/>
          <w:sz w:val="24"/>
          <w:szCs w:val="24"/>
        </w:rPr>
        <w:lastRenderedPageBreak/>
        <w:t xml:space="preserve">Figure 1 below indicates the </w:t>
      </w:r>
      <w:r w:rsidR="00AB17A9" w:rsidRPr="00766EF1">
        <w:rPr>
          <w:rFonts w:ascii="Times New Roman" w:hAnsi="Times New Roman" w:cs="Times New Roman"/>
          <w:sz w:val="24"/>
          <w:szCs w:val="24"/>
        </w:rPr>
        <w:t>trends in</w:t>
      </w:r>
      <w:r w:rsidRPr="00766EF1">
        <w:rPr>
          <w:rFonts w:ascii="Times New Roman" w:hAnsi="Times New Roman" w:cs="Times New Roman"/>
          <w:sz w:val="24"/>
          <w:szCs w:val="24"/>
        </w:rPr>
        <w:t xml:space="preserve"> the revenue performance per stream</w:t>
      </w:r>
      <w:r w:rsidR="007F6B23" w:rsidRPr="00766EF1">
        <w:rPr>
          <w:rFonts w:ascii="Times New Roman" w:hAnsi="Times New Roman" w:cs="Times New Roman"/>
          <w:sz w:val="24"/>
          <w:szCs w:val="24"/>
        </w:rPr>
        <w:t xml:space="preserve"> per quarter</w:t>
      </w:r>
      <w:r w:rsidR="004A5BC7">
        <w:rPr>
          <w:rFonts w:ascii="Times New Roman" w:hAnsi="Times New Roman" w:cs="Times New Roman"/>
          <w:sz w:val="24"/>
          <w:szCs w:val="24"/>
        </w:rPr>
        <w:t xml:space="preserve"> during the FY 2018/19</w:t>
      </w:r>
      <w:r w:rsidRPr="00766EF1">
        <w:rPr>
          <w:rFonts w:ascii="Times New Roman" w:hAnsi="Times New Roman" w:cs="Times New Roman"/>
          <w:sz w:val="24"/>
          <w:szCs w:val="24"/>
        </w:rPr>
        <w:t xml:space="preserve"> financial years.</w:t>
      </w:r>
    </w:p>
    <w:p w14:paraId="58834B2C" w14:textId="76019FA4" w:rsidR="00716E3D" w:rsidRPr="00766EF1" w:rsidRDefault="00716E3D" w:rsidP="000B53D5">
      <w:pPr>
        <w:spacing w:before="240" w:after="240" w:line="240" w:lineRule="auto"/>
        <w:ind w:left="72"/>
        <w:rPr>
          <w:rFonts w:ascii="Times New Roman" w:hAnsi="Times New Roman" w:cs="Times New Roman"/>
          <w:b/>
          <w:bCs/>
          <w:sz w:val="24"/>
          <w:szCs w:val="24"/>
        </w:rPr>
      </w:pPr>
      <w:r w:rsidRPr="00766EF1">
        <w:rPr>
          <w:rFonts w:ascii="Times New Roman" w:hAnsi="Times New Roman" w:cs="Times New Roman"/>
          <w:b/>
          <w:bCs/>
          <w:sz w:val="24"/>
          <w:szCs w:val="24"/>
        </w:rPr>
        <w:t xml:space="preserve">Figure 1: Revenue </w:t>
      </w:r>
      <w:r w:rsidR="000B53D5" w:rsidRPr="00766EF1">
        <w:rPr>
          <w:rFonts w:ascii="Times New Roman" w:hAnsi="Times New Roman" w:cs="Times New Roman"/>
          <w:b/>
          <w:bCs/>
          <w:sz w:val="24"/>
          <w:szCs w:val="24"/>
        </w:rPr>
        <w:t>t</w:t>
      </w:r>
      <w:r w:rsidRPr="00766EF1">
        <w:rPr>
          <w:rFonts w:ascii="Times New Roman" w:hAnsi="Times New Roman" w:cs="Times New Roman"/>
          <w:b/>
          <w:bCs/>
          <w:sz w:val="24"/>
          <w:szCs w:val="24"/>
        </w:rPr>
        <w:t>rends per quarter</w:t>
      </w:r>
    </w:p>
    <w:p w14:paraId="4DACD91A" w14:textId="177B5526" w:rsidR="000B53D5" w:rsidRPr="00766EF1" w:rsidRDefault="00C70388" w:rsidP="00EB0D0C">
      <w:pPr>
        <w:spacing w:before="240" w:after="240" w:line="240" w:lineRule="auto"/>
        <w:ind w:left="72" w:firstLine="18"/>
        <w:rPr>
          <w:rFonts w:ascii="Times New Roman" w:hAnsi="Times New Roman" w:cs="Times New Roman"/>
          <w:b/>
          <w:bCs/>
          <w:sz w:val="24"/>
          <w:szCs w:val="24"/>
        </w:rPr>
      </w:pPr>
      <w:r>
        <w:rPr>
          <w:noProof/>
        </w:rPr>
        <w:drawing>
          <wp:inline distT="0" distB="0" distL="0" distR="0" wp14:anchorId="717E5ACF" wp14:editId="176EA665">
            <wp:extent cx="4572000" cy="2743200"/>
            <wp:effectExtent l="0" t="0" r="19050" b="1905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9F61777" w14:textId="3925782D" w:rsidR="00FA00D1" w:rsidRDefault="00AB17A9" w:rsidP="00692FEA">
      <w:pPr>
        <w:spacing w:before="240" w:after="240" w:line="240" w:lineRule="auto"/>
        <w:jc w:val="both"/>
        <w:rPr>
          <w:rFonts w:ascii="Times New Roman" w:hAnsi="Times New Roman" w:cs="Times New Roman"/>
          <w:sz w:val="24"/>
          <w:szCs w:val="24"/>
        </w:rPr>
      </w:pPr>
      <w:r w:rsidRPr="00766EF1">
        <w:rPr>
          <w:rFonts w:ascii="Times New Roman" w:hAnsi="Times New Roman" w:cs="Times New Roman"/>
          <w:sz w:val="24"/>
          <w:szCs w:val="24"/>
        </w:rPr>
        <w:t>As indicated in table 2.2 and figure 1, the County own revenue</w:t>
      </w:r>
      <w:r w:rsidR="00E03DDC">
        <w:rPr>
          <w:rFonts w:ascii="Times New Roman" w:hAnsi="Times New Roman" w:cs="Times New Roman"/>
          <w:sz w:val="24"/>
          <w:szCs w:val="24"/>
        </w:rPr>
        <w:t>s</w:t>
      </w:r>
      <w:r w:rsidRPr="00766EF1">
        <w:rPr>
          <w:rFonts w:ascii="Times New Roman" w:hAnsi="Times New Roman" w:cs="Times New Roman"/>
          <w:sz w:val="24"/>
          <w:szCs w:val="24"/>
        </w:rPr>
        <w:t xml:space="preserve"> is mainly attributab</w:t>
      </w:r>
      <w:r w:rsidR="00F20A04">
        <w:rPr>
          <w:rFonts w:ascii="Times New Roman" w:hAnsi="Times New Roman" w:cs="Times New Roman"/>
          <w:sz w:val="24"/>
          <w:szCs w:val="24"/>
        </w:rPr>
        <w:t xml:space="preserve">le </w:t>
      </w:r>
      <w:r w:rsidR="00F302F0">
        <w:rPr>
          <w:rFonts w:ascii="Times New Roman" w:hAnsi="Times New Roman" w:cs="Times New Roman"/>
          <w:sz w:val="24"/>
          <w:szCs w:val="24"/>
        </w:rPr>
        <w:t xml:space="preserve">to Single business permit, parking </w:t>
      </w:r>
      <w:r w:rsidR="004D779B">
        <w:rPr>
          <w:rFonts w:ascii="Times New Roman" w:hAnsi="Times New Roman" w:cs="Times New Roman"/>
          <w:sz w:val="24"/>
          <w:szCs w:val="24"/>
        </w:rPr>
        <w:t>fees, cess</w:t>
      </w:r>
      <w:r w:rsidR="00F302F0">
        <w:rPr>
          <w:rFonts w:ascii="Times New Roman" w:hAnsi="Times New Roman" w:cs="Times New Roman"/>
          <w:sz w:val="24"/>
          <w:szCs w:val="24"/>
        </w:rPr>
        <w:t>, market fees and outdoor advertisement</w:t>
      </w:r>
      <w:r w:rsidRPr="00766EF1">
        <w:rPr>
          <w:rFonts w:ascii="Times New Roman" w:hAnsi="Times New Roman" w:cs="Times New Roman"/>
          <w:sz w:val="24"/>
          <w:szCs w:val="24"/>
        </w:rPr>
        <w:t>. Further, the sharp increase in own revenue in the last half of the year is attributable to renewal of single business permits, renewal of parking fees for the year and cess due to the agricultural season.</w:t>
      </w:r>
      <w:r w:rsidR="00F20A04">
        <w:rPr>
          <w:rFonts w:ascii="Times New Roman" w:hAnsi="Times New Roman" w:cs="Times New Roman"/>
          <w:sz w:val="24"/>
          <w:szCs w:val="24"/>
        </w:rPr>
        <w:t xml:space="preserve"> </w:t>
      </w:r>
    </w:p>
    <w:p w14:paraId="39FC3108" w14:textId="2E0602E1" w:rsidR="00DD326B" w:rsidRPr="008F43B5" w:rsidRDefault="008F43B5" w:rsidP="008F43B5">
      <w:pPr>
        <w:pStyle w:val="Heading2"/>
        <w:rPr>
          <w:color w:val="auto"/>
        </w:rPr>
      </w:pPr>
      <w:bookmarkStart w:id="58" w:name="_Toc23266827"/>
      <w:r>
        <w:rPr>
          <w:color w:val="auto"/>
        </w:rPr>
        <w:t xml:space="preserve">2.4 </w:t>
      </w:r>
      <w:r w:rsidR="00DD326B" w:rsidRPr="008F43B5">
        <w:rPr>
          <w:color w:val="auto"/>
        </w:rPr>
        <w:t>Expenditure Performance</w:t>
      </w:r>
      <w:bookmarkEnd w:id="58"/>
    </w:p>
    <w:p w14:paraId="41822889" w14:textId="60ED316A" w:rsidR="005B4D06" w:rsidRPr="005B4D06" w:rsidRDefault="005B4D06" w:rsidP="005B4D06">
      <w:pPr>
        <w:spacing w:after="0" w:line="360" w:lineRule="auto"/>
        <w:jc w:val="both"/>
        <w:rPr>
          <w:rFonts w:ascii="Times New Roman" w:hAnsi="Times New Roman" w:cs="Times New Roman"/>
          <w:sz w:val="24"/>
          <w:szCs w:val="24"/>
        </w:rPr>
      </w:pPr>
      <w:r w:rsidRPr="00646AF1">
        <w:rPr>
          <w:rFonts w:ascii="Times New Roman" w:hAnsi="Times New Roman" w:cs="Times New Roman"/>
          <w:sz w:val="24"/>
          <w:szCs w:val="24"/>
        </w:rPr>
        <w:t xml:space="preserve">Total expenditure in the FY 2018/19, amounted to </w:t>
      </w:r>
      <w:r w:rsidR="00914039">
        <w:rPr>
          <w:rFonts w:ascii="Times New Roman" w:hAnsi="Times New Roman" w:cs="Times New Roman"/>
          <w:sz w:val="24"/>
          <w:szCs w:val="24"/>
        </w:rPr>
        <w:t>Kshs</w:t>
      </w:r>
      <w:r w:rsidRPr="00646AF1">
        <w:rPr>
          <w:rFonts w:ascii="Times New Roman" w:hAnsi="Times New Roman" w:cs="Times New Roman"/>
          <w:sz w:val="24"/>
          <w:szCs w:val="24"/>
        </w:rPr>
        <w:t xml:space="preserve">. </w:t>
      </w:r>
      <w:r w:rsidR="001540E7" w:rsidRPr="001540E7">
        <w:rPr>
          <w:rFonts w:ascii="Times New Roman" w:hAnsi="Times New Roman" w:cs="Times New Roman"/>
          <w:sz w:val="24"/>
          <w:szCs w:val="24"/>
        </w:rPr>
        <w:t xml:space="preserve">10,692,330,111.72 </w:t>
      </w:r>
      <w:r w:rsidRPr="00646AF1">
        <w:rPr>
          <w:rFonts w:ascii="Times New Roman" w:hAnsi="Times New Roman" w:cs="Times New Roman"/>
          <w:sz w:val="24"/>
          <w:szCs w:val="24"/>
        </w:rPr>
        <w:t xml:space="preserve">against a target of </w:t>
      </w:r>
      <w:r w:rsidR="00914039">
        <w:rPr>
          <w:rFonts w:ascii="Times New Roman" w:hAnsi="Times New Roman" w:cs="Times New Roman"/>
          <w:sz w:val="24"/>
          <w:szCs w:val="24"/>
        </w:rPr>
        <w:t>Kshs</w:t>
      </w:r>
      <w:r w:rsidRPr="00646AF1">
        <w:rPr>
          <w:rFonts w:ascii="Times New Roman" w:hAnsi="Times New Roman" w:cs="Times New Roman"/>
          <w:sz w:val="24"/>
          <w:szCs w:val="24"/>
        </w:rPr>
        <w:t xml:space="preserve">. </w:t>
      </w:r>
      <w:r w:rsidRPr="00621F66">
        <w:rPr>
          <w:rFonts w:ascii="Times New Roman" w:hAnsi="Times New Roman" w:cs="Times New Roman"/>
          <w:sz w:val="24"/>
          <w:szCs w:val="24"/>
        </w:rPr>
        <w:t xml:space="preserve">12,556,097,825.03 </w:t>
      </w:r>
      <w:r w:rsidR="004D779B">
        <w:rPr>
          <w:rFonts w:ascii="Times New Roman" w:hAnsi="Times New Roman" w:cs="Times New Roman"/>
          <w:sz w:val="24"/>
          <w:szCs w:val="24"/>
        </w:rPr>
        <w:t>representing u</w:t>
      </w:r>
      <w:r w:rsidRPr="00646AF1">
        <w:rPr>
          <w:rFonts w:ascii="Times New Roman" w:hAnsi="Times New Roman" w:cs="Times New Roman"/>
          <w:sz w:val="24"/>
          <w:szCs w:val="24"/>
        </w:rPr>
        <w:t>n</w:t>
      </w:r>
      <w:r w:rsidR="00B01D61">
        <w:rPr>
          <w:rFonts w:ascii="Times New Roman" w:hAnsi="Times New Roman" w:cs="Times New Roman"/>
          <w:sz w:val="24"/>
          <w:szCs w:val="24"/>
        </w:rPr>
        <w:t xml:space="preserve"> absorption of</w:t>
      </w:r>
      <w:r w:rsidRPr="00646AF1">
        <w:rPr>
          <w:rFonts w:ascii="Times New Roman" w:hAnsi="Times New Roman" w:cs="Times New Roman"/>
          <w:sz w:val="24"/>
          <w:szCs w:val="24"/>
        </w:rPr>
        <w:t xml:space="preserve"> </w:t>
      </w:r>
      <w:r w:rsidR="00914039">
        <w:rPr>
          <w:rFonts w:ascii="Times New Roman" w:hAnsi="Times New Roman" w:cs="Times New Roman"/>
          <w:sz w:val="24"/>
          <w:szCs w:val="24"/>
        </w:rPr>
        <w:t>Kshs</w:t>
      </w:r>
      <w:r w:rsidR="00B01D61">
        <w:rPr>
          <w:rFonts w:ascii="Times New Roman" w:hAnsi="Times New Roman" w:cs="Times New Roman"/>
          <w:sz w:val="24"/>
          <w:szCs w:val="24"/>
        </w:rPr>
        <w:t>.</w:t>
      </w:r>
      <w:r w:rsidR="001540E7">
        <w:rPr>
          <w:rFonts w:ascii="Times New Roman" w:hAnsi="Times New Roman" w:cs="Times New Roman"/>
          <w:sz w:val="24"/>
          <w:szCs w:val="24"/>
        </w:rPr>
        <w:t xml:space="preserve">1, 863,767,713.32 </w:t>
      </w:r>
      <w:r w:rsidRPr="00646AF1">
        <w:rPr>
          <w:rFonts w:ascii="Times New Roman" w:hAnsi="Times New Roman" w:cs="Times New Roman"/>
          <w:sz w:val="24"/>
          <w:szCs w:val="24"/>
        </w:rPr>
        <w:t xml:space="preserve">and </w:t>
      </w:r>
      <w:r>
        <w:rPr>
          <w:rFonts w:ascii="Times New Roman" w:hAnsi="Times New Roman" w:cs="Times New Roman"/>
          <w:sz w:val="24"/>
          <w:szCs w:val="24"/>
        </w:rPr>
        <w:t>8</w:t>
      </w:r>
      <w:r w:rsidR="001540E7">
        <w:rPr>
          <w:rFonts w:ascii="Times New Roman" w:hAnsi="Times New Roman" w:cs="Times New Roman"/>
          <w:sz w:val="24"/>
          <w:szCs w:val="24"/>
        </w:rPr>
        <w:t>5</w:t>
      </w:r>
      <w:r w:rsidRPr="00646AF1">
        <w:rPr>
          <w:rFonts w:ascii="Times New Roman" w:hAnsi="Times New Roman" w:cs="Times New Roman"/>
          <w:sz w:val="24"/>
          <w:szCs w:val="24"/>
        </w:rPr>
        <w:t xml:space="preserve">% absorption of the approved budget. In FY 2018/19, the recurrent expenditure amounted to </w:t>
      </w:r>
      <w:r w:rsidR="00914039">
        <w:rPr>
          <w:rFonts w:ascii="Times New Roman" w:hAnsi="Times New Roman" w:cs="Times New Roman"/>
          <w:sz w:val="24"/>
          <w:szCs w:val="24"/>
        </w:rPr>
        <w:t>Kshs</w:t>
      </w:r>
      <w:r w:rsidRPr="00646AF1">
        <w:rPr>
          <w:rFonts w:ascii="Times New Roman" w:hAnsi="Times New Roman" w:cs="Times New Roman"/>
          <w:sz w:val="24"/>
          <w:szCs w:val="24"/>
        </w:rPr>
        <w:t>.</w:t>
      </w:r>
      <w:r w:rsidR="00497264">
        <w:rPr>
          <w:rFonts w:ascii="Times New Roman" w:hAnsi="Times New Roman" w:cs="Times New Roman"/>
          <w:sz w:val="24"/>
          <w:szCs w:val="24"/>
        </w:rPr>
        <w:t>7,</w:t>
      </w:r>
      <w:r w:rsidR="00497264" w:rsidRPr="001540E7">
        <w:rPr>
          <w:rFonts w:ascii="Times New Roman" w:hAnsi="Times New Roman" w:cs="Times New Roman"/>
          <w:sz w:val="24"/>
          <w:szCs w:val="24"/>
        </w:rPr>
        <w:t xml:space="preserve"> 599,609,479.74</w:t>
      </w:r>
      <w:r w:rsidR="00B01D61" w:rsidRPr="00B01D61">
        <w:rPr>
          <w:rFonts w:ascii="Times New Roman" w:hAnsi="Times New Roman" w:cs="Times New Roman"/>
          <w:sz w:val="24"/>
          <w:szCs w:val="24"/>
        </w:rPr>
        <w:t xml:space="preserve"> </w:t>
      </w:r>
      <w:r w:rsidRPr="00646AF1">
        <w:rPr>
          <w:rFonts w:ascii="Times New Roman" w:hAnsi="Times New Roman" w:cs="Times New Roman"/>
          <w:sz w:val="24"/>
          <w:szCs w:val="24"/>
        </w:rPr>
        <w:t xml:space="preserve">representing </w:t>
      </w:r>
      <w:r w:rsidR="001540E7">
        <w:rPr>
          <w:rFonts w:ascii="Times New Roman" w:hAnsi="Times New Roman" w:cs="Times New Roman"/>
          <w:sz w:val="24"/>
          <w:szCs w:val="24"/>
        </w:rPr>
        <w:t>97</w:t>
      </w:r>
      <w:r w:rsidRPr="00646AF1">
        <w:rPr>
          <w:rFonts w:ascii="Times New Roman" w:hAnsi="Times New Roman" w:cs="Times New Roman"/>
          <w:sz w:val="24"/>
          <w:szCs w:val="24"/>
        </w:rPr>
        <w:t xml:space="preserve">% absorption, while </w:t>
      </w:r>
      <w:r w:rsidR="00914039">
        <w:rPr>
          <w:rFonts w:ascii="Times New Roman" w:hAnsi="Times New Roman" w:cs="Times New Roman"/>
          <w:sz w:val="24"/>
          <w:szCs w:val="24"/>
        </w:rPr>
        <w:t>Kshs</w:t>
      </w:r>
      <w:r w:rsidRPr="00646AF1">
        <w:rPr>
          <w:rFonts w:ascii="Times New Roman" w:hAnsi="Times New Roman" w:cs="Times New Roman"/>
          <w:sz w:val="24"/>
          <w:szCs w:val="24"/>
        </w:rPr>
        <w:t>.</w:t>
      </w:r>
      <w:r w:rsidR="001540E7" w:rsidRPr="001540E7">
        <w:rPr>
          <w:rFonts w:ascii="Times New Roman" w:hAnsi="Times New Roman" w:cs="Times New Roman"/>
          <w:sz w:val="24"/>
          <w:szCs w:val="24"/>
        </w:rPr>
        <w:t xml:space="preserve"> 3,092,720,631.98 </w:t>
      </w:r>
      <w:r w:rsidRPr="00646AF1">
        <w:rPr>
          <w:rFonts w:ascii="Times New Roman" w:hAnsi="Times New Roman" w:cs="Times New Roman"/>
          <w:sz w:val="24"/>
          <w:szCs w:val="24"/>
        </w:rPr>
        <w:t xml:space="preserve">was spent </w:t>
      </w:r>
      <w:r w:rsidR="001540E7">
        <w:rPr>
          <w:rFonts w:ascii="Times New Roman" w:hAnsi="Times New Roman" w:cs="Times New Roman"/>
          <w:sz w:val="24"/>
          <w:szCs w:val="24"/>
        </w:rPr>
        <w:t>on development accounting for 66</w:t>
      </w:r>
      <w:r w:rsidRPr="00646AF1">
        <w:rPr>
          <w:rFonts w:ascii="Times New Roman" w:hAnsi="Times New Roman" w:cs="Times New Roman"/>
          <w:sz w:val="24"/>
          <w:szCs w:val="24"/>
        </w:rPr>
        <w:t xml:space="preserve"> % absorption as compared to the targeted budget.</w:t>
      </w:r>
    </w:p>
    <w:p w14:paraId="52E9364E" w14:textId="2D66F4C1" w:rsidR="00E833FA" w:rsidRPr="00766EF1" w:rsidRDefault="005B4D06" w:rsidP="00F859F1">
      <w:pPr>
        <w:spacing w:before="240" w:after="240" w:line="360" w:lineRule="auto"/>
        <w:jc w:val="both"/>
        <w:rPr>
          <w:rFonts w:ascii="Times New Roman" w:hAnsi="Times New Roman" w:cs="Times New Roman"/>
          <w:sz w:val="24"/>
          <w:szCs w:val="24"/>
        </w:rPr>
      </w:pPr>
      <w:r w:rsidRPr="00646AF1">
        <w:rPr>
          <w:rFonts w:ascii="Times New Roman" w:hAnsi="Times New Roman" w:cs="Times New Roman"/>
          <w:sz w:val="24"/>
          <w:szCs w:val="24"/>
        </w:rPr>
        <w:t>The under spending in the FY 2018/19 is attributed to multiplicity of projects hence delays in procureme</w:t>
      </w:r>
      <w:r w:rsidR="00F859F1">
        <w:rPr>
          <w:rFonts w:ascii="Times New Roman" w:hAnsi="Times New Roman" w:cs="Times New Roman"/>
          <w:sz w:val="24"/>
          <w:szCs w:val="24"/>
        </w:rPr>
        <w:t xml:space="preserve">nt of the projects and services; Introduction of end-to end online procurement system that slowed down processes as suppliers and contractors are yet to get well versed with the process; </w:t>
      </w:r>
      <w:r w:rsidR="00F859F1" w:rsidRPr="00646AF1">
        <w:rPr>
          <w:rFonts w:ascii="Times New Roman" w:hAnsi="Times New Roman" w:cs="Times New Roman"/>
          <w:color w:val="000000"/>
          <w:w w:val="112"/>
          <w:sz w:val="24"/>
          <w:szCs w:val="24"/>
        </w:rPr>
        <w:t xml:space="preserve">Inadequate </w:t>
      </w:r>
      <w:r w:rsidR="00F859F1">
        <w:rPr>
          <w:rFonts w:ascii="Times New Roman" w:hAnsi="Times New Roman" w:cs="Times New Roman"/>
          <w:color w:val="000000"/>
          <w:w w:val="112"/>
          <w:sz w:val="24"/>
          <w:szCs w:val="24"/>
        </w:rPr>
        <w:t xml:space="preserve">and not very well </w:t>
      </w:r>
      <w:r w:rsidR="00212399">
        <w:rPr>
          <w:rFonts w:ascii="Times New Roman" w:hAnsi="Times New Roman" w:cs="Times New Roman"/>
          <w:color w:val="000000"/>
          <w:w w:val="112"/>
          <w:sz w:val="24"/>
          <w:szCs w:val="24"/>
        </w:rPr>
        <w:t>experienced technical</w:t>
      </w:r>
      <w:r w:rsidR="00F859F1">
        <w:rPr>
          <w:rFonts w:ascii="Times New Roman" w:hAnsi="Times New Roman" w:cs="Times New Roman"/>
          <w:color w:val="000000"/>
          <w:w w:val="112"/>
          <w:sz w:val="24"/>
          <w:szCs w:val="24"/>
        </w:rPr>
        <w:t xml:space="preserve"> staff hence delays in preparing designs and BQs;</w:t>
      </w:r>
      <w:r w:rsidRPr="00646AF1">
        <w:rPr>
          <w:rFonts w:ascii="Times New Roman" w:hAnsi="Times New Roman" w:cs="Times New Roman"/>
          <w:color w:val="000000"/>
          <w:w w:val="112"/>
          <w:sz w:val="24"/>
          <w:szCs w:val="24"/>
        </w:rPr>
        <w:t xml:space="preserve"> and delay in disbursement of funds by national Government</w:t>
      </w:r>
      <w:r w:rsidR="001540E7">
        <w:rPr>
          <w:rFonts w:ascii="Times New Roman" w:hAnsi="Times New Roman" w:cs="Times New Roman"/>
          <w:color w:val="000000"/>
          <w:w w:val="112"/>
          <w:sz w:val="24"/>
          <w:szCs w:val="24"/>
        </w:rPr>
        <w:t>.</w:t>
      </w:r>
    </w:p>
    <w:p w14:paraId="149B7563" w14:textId="37A94150" w:rsidR="00EE518B" w:rsidRPr="008F43B5" w:rsidRDefault="008F43B5" w:rsidP="008F43B5">
      <w:pPr>
        <w:pStyle w:val="Heading2"/>
        <w:rPr>
          <w:rFonts w:ascii="Times New Roman" w:hAnsi="Times New Roman" w:cs="Times New Roman"/>
          <w:color w:val="auto"/>
          <w:sz w:val="24"/>
          <w:szCs w:val="24"/>
        </w:rPr>
      </w:pPr>
      <w:bookmarkStart w:id="59" w:name="_Toc23266828"/>
      <w:r w:rsidRPr="008F43B5">
        <w:rPr>
          <w:rFonts w:ascii="Times New Roman" w:hAnsi="Times New Roman" w:cs="Times New Roman"/>
          <w:color w:val="auto"/>
          <w:w w:val="112"/>
          <w:sz w:val="24"/>
          <w:szCs w:val="24"/>
        </w:rPr>
        <w:t xml:space="preserve">2.5 </w:t>
      </w:r>
      <w:r w:rsidR="005B4D06" w:rsidRPr="008F43B5">
        <w:rPr>
          <w:rFonts w:ascii="Times New Roman" w:hAnsi="Times New Roman" w:cs="Times New Roman"/>
          <w:color w:val="auto"/>
          <w:w w:val="112"/>
          <w:sz w:val="24"/>
          <w:szCs w:val="24"/>
        </w:rPr>
        <w:t>Fiscal balance</w:t>
      </w:r>
      <w:bookmarkEnd w:id="59"/>
      <w:r w:rsidR="005B4D06" w:rsidRPr="008F43B5">
        <w:rPr>
          <w:rFonts w:ascii="Times New Roman" w:hAnsi="Times New Roman" w:cs="Times New Roman"/>
          <w:color w:val="auto"/>
          <w:sz w:val="24"/>
          <w:szCs w:val="24"/>
        </w:rPr>
        <w:t xml:space="preserve"> </w:t>
      </w:r>
    </w:p>
    <w:p w14:paraId="1651BBAA" w14:textId="267F1CEB" w:rsidR="005B4D06" w:rsidRPr="005B4D06" w:rsidRDefault="005B4D06" w:rsidP="00212399">
      <w:pPr>
        <w:jc w:val="both"/>
      </w:pPr>
      <w:r w:rsidRPr="00D16E36">
        <w:rPr>
          <w:rFonts w:ascii="Times New Roman" w:hAnsi="Times New Roman" w:cs="Times New Roman"/>
          <w:color w:val="000000"/>
          <w:w w:val="112"/>
          <w:sz w:val="24"/>
          <w:szCs w:val="24"/>
        </w:rPr>
        <w:t xml:space="preserve">In line with performance in revenue and expenditure, fiscal deficit (excluding grants) amounted to </w:t>
      </w:r>
      <w:r w:rsidR="00914039">
        <w:rPr>
          <w:rFonts w:ascii="Times New Roman" w:hAnsi="Times New Roman" w:cs="Times New Roman"/>
          <w:color w:val="000000"/>
          <w:w w:val="112"/>
          <w:sz w:val="24"/>
          <w:szCs w:val="24"/>
        </w:rPr>
        <w:t>Kshs</w:t>
      </w:r>
      <w:r>
        <w:rPr>
          <w:rFonts w:ascii="Times New Roman" w:hAnsi="Times New Roman" w:cs="Times New Roman"/>
          <w:color w:val="000000"/>
          <w:w w:val="112"/>
          <w:sz w:val="24"/>
          <w:szCs w:val="24"/>
        </w:rPr>
        <w:t>.</w:t>
      </w:r>
      <w:r w:rsidR="00F859F1">
        <w:rPr>
          <w:rFonts w:ascii="Times New Roman" w:hAnsi="Times New Roman" w:cs="Times New Roman"/>
          <w:color w:val="000000"/>
          <w:w w:val="112"/>
          <w:sz w:val="24"/>
          <w:szCs w:val="24"/>
        </w:rPr>
        <w:t>527.265 million</w:t>
      </w:r>
      <w:r w:rsidR="00D75973">
        <w:rPr>
          <w:rFonts w:ascii="Times New Roman" w:eastAsia="Times New Roman" w:hAnsi="Times New Roman" w:cs="Times New Roman"/>
          <w:color w:val="000000"/>
          <w:sz w:val="24"/>
          <w:szCs w:val="24"/>
        </w:rPr>
        <w:t>. Through a contingency plan, government will absorb the above deficit through budgeting of pending bills in the financial year 2020/21.</w:t>
      </w:r>
    </w:p>
    <w:p w14:paraId="2AF32352" w14:textId="18EC0D84" w:rsidR="00EE518B" w:rsidRPr="00766EF1" w:rsidRDefault="00C85B5D" w:rsidP="00212399">
      <w:pPr>
        <w:jc w:val="both"/>
        <w:rPr>
          <w:rFonts w:ascii="Times New Roman" w:hAnsi="Times New Roman" w:cs="Times New Roman"/>
          <w:sz w:val="24"/>
          <w:szCs w:val="24"/>
        </w:rPr>
      </w:pPr>
      <w:r w:rsidRPr="00766EF1">
        <w:rPr>
          <w:rFonts w:ascii="Times New Roman" w:hAnsi="Times New Roman" w:cs="Times New Roman"/>
          <w:sz w:val="24"/>
          <w:szCs w:val="24"/>
        </w:rPr>
        <w:lastRenderedPageBreak/>
        <w:t xml:space="preserve">Table 2.3 below indicates the respective </w:t>
      </w:r>
      <w:r w:rsidR="00D91EA4" w:rsidRPr="00766EF1">
        <w:rPr>
          <w:rFonts w:ascii="Times New Roman" w:hAnsi="Times New Roman" w:cs="Times New Roman"/>
          <w:sz w:val="24"/>
          <w:szCs w:val="24"/>
        </w:rPr>
        <w:t>department’s</w:t>
      </w:r>
      <w:r w:rsidRPr="00766EF1">
        <w:rPr>
          <w:rFonts w:ascii="Times New Roman" w:hAnsi="Times New Roman" w:cs="Times New Roman"/>
          <w:sz w:val="24"/>
          <w:szCs w:val="24"/>
        </w:rPr>
        <w:t xml:space="preserve"> absorption </w:t>
      </w:r>
      <w:r w:rsidR="00212399">
        <w:rPr>
          <w:rFonts w:ascii="Times New Roman" w:hAnsi="Times New Roman" w:cs="Times New Roman"/>
          <w:sz w:val="24"/>
          <w:szCs w:val="24"/>
        </w:rPr>
        <w:t xml:space="preserve">rates </w:t>
      </w:r>
      <w:r w:rsidR="00212399" w:rsidRPr="00766EF1">
        <w:rPr>
          <w:rFonts w:ascii="Times New Roman" w:hAnsi="Times New Roman" w:cs="Times New Roman"/>
          <w:sz w:val="24"/>
          <w:szCs w:val="24"/>
        </w:rPr>
        <w:t>as</w:t>
      </w:r>
      <w:r w:rsidRPr="00766EF1">
        <w:rPr>
          <w:rFonts w:ascii="Times New Roman" w:hAnsi="Times New Roman" w:cs="Times New Roman"/>
          <w:sz w:val="24"/>
          <w:szCs w:val="24"/>
        </w:rPr>
        <w:t xml:space="preserve"> follows:</w:t>
      </w:r>
    </w:p>
    <w:p w14:paraId="4A74608E" w14:textId="77777777" w:rsidR="00395FB8" w:rsidRPr="00766EF1" w:rsidRDefault="00395FB8" w:rsidP="00E402E9">
      <w:pPr>
        <w:rPr>
          <w:rFonts w:ascii="Times New Roman" w:hAnsi="Times New Roman" w:cs="Times New Roman"/>
          <w:b/>
          <w:color w:val="C00000"/>
          <w:sz w:val="24"/>
          <w:szCs w:val="24"/>
        </w:rPr>
        <w:sectPr w:rsidR="00395FB8" w:rsidRPr="00766EF1" w:rsidSect="00CC7824">
          <w:pgSz w:w="11907" w:h="16839" w:code="9"/>
          <w:pgMar w:top="1440" w:right="1440" w:bottom="1440" w:left="1440" w:header="720" w:footer="720" w:gutter="0"/>
          <w:cols w:space="720"/>
          <w:docGrid w:linePitch="360"/>
        </w:sectPr>
      </w:pPr>
    </w:p>
    <w:p w14:paraId="682790C8" w14:textId="32CF346E" w:rsidR="00D218A2" w:rsidRDefault="00395FB8" w:rsidP="00D218A2">
      <w:pPr>
        <w:spacing w:before="100" w:beforeAutospacing="1" w:after="240" w:line="240" w:lineRule="auto"/>
        <w:rPr>
          <w:rFonts w:ascii="Times New Roman" w:hAnsi="Times New Roman" w:cs="Times New Roman"/>
          <w:b/>
          <w:bCs/>
          <w:sz w:val="24"/>
          <w:szCs w:val="24"/>
        </w:rPr>
      </w:pPr>
      <w:r w:rsidRPr="00766EF1">
        <w:rPr>
          <w:rFonts w:ascii="Times New Roman" w:hAnsi="Times New Roman" w:cs="Times New Roman"/>
          <w:b/>
          <w:bCs/>
          <w:sz w:val="24"/>
          <w:szCs w:val="24"/>
        </w:rPr>
        <w:lastRenderedPageBreak/>
        <w:t>Table 2.3 Sho</w:t>
      </w:r>
      <w:r w:rsidR="008002BD" w:rsidRPr="00766EF1">
        <w:rPr>
          <w:rFonts w:ascii="Times New Roman" w:hAnsi="Times New Roman" w:cs="Times New Roman"/>
          <w:b/>
          <w:bCs/>
          <w:sz w:val="24"/>
          <w:szCs w:val="24"/>
        </w:rPr>
        <w:t>wing</w:t>
      </w:r>
      <w:r w:rsidR="004E2BAB" w:rsidRPr="00766EF1">
        <w:rPr>
          <w:rFonts w:ascii="Times New Roman" w:hAnsi="Times New Roman" w:cs="Times New Roman"/>
          <w:b/>
          <w:bCs/>
          <w:sz w:val="24"/>
          <w:szCs w:val="24"/>
        </w:rPr>
        <w:t xml:space="preserve"> Absorption rates by sectors</w:t>
      </w:r>
      <w:r w:rsidR="00A84343">
        <w:rPr>
          <w:rFonts w:ascii="Times New Roman" w:hAnsi="Times New Roman" w:cs="Times New Roman"/>
          <w:b/>
          <w:bCs/>
          <w:sz w:val="24"/>
          <w:szCs w:val="24"/>
        </w:rPr>
        <w:t xml:space="preserve"> and Comparison with CFSP 2018</w:t>
      </w:r>
    </w:p>
    <w:p w14:paraId="521B31A2" w14:textId="77777777" w:rsidR="00212399" w:rsidRDefault="00212399" w:rsidP="00D218A2">
      <w:pPr>
        <w:spacing w:before="100" w:beforeAutospacing="1" w:after="240" w:line="240" w:lineRule="auto"/>
        <w:rPr>
          <w:rFonts w:ascii="Times New Roman" w:hAnsi="Times New Roman" w:cs="Times New Roman"/>
          <w:b/>
          <w:bCs/>
          <w:sz w:val="24"/>
          <w:szCs w:val="24"/>
        </w:rPr>
      </w:pPr>
    </w:p>
    <w:p w14:paraId="0FA9B94B" w14:textId="77777777" w:rsidR="00926EDB" w:rsidRDefault="00926EDB" w:rsidP="00D218A2">
      <w:pPr>
        <w:spacing w:before="100" w:beforeAutospacing="1" w:after="240" w:line="240" w:lineRule="auto"/>
        <w:rPr>
          <w:noProof/>
        </w:rPr>
      </w:pPr>
    </w:p>
    <w:p w14:paraId="13D931C0" w14:textId="7CFDC252" w:rsidR="00212399" w:rsidRDefault="00B55540" w:rsidP="00D218A2">
      <w:pPr>
        <w:spacing w:before="100" w:beforeAutospacing="1" w:after="240" w:line="240" w:lineRule="auto"/>
        <w:rPr>
          <w:rFonts w:ascii="Times New Roman" w:hAnsi="Times New Roman" w:cs="Times New Roman"/>
          <w:b/>
          <w:bCs/>
          <w:sz w:val="24"/>
          <w:szCs w:val="24"/>
        </w:rPr>
        <w:sectPr w:rsidR="00212399" w:rsidSect="00383364">
          <w:pgSz w:w="16839" w:h="11907" w:orient="landscape" w:code="9"/>
          <w:pgMar w:top="1440" w:right="1440" w:bottom="270" w:left="1440" w:header="720" w:footer="720" w:gutter="0"/>
          <w:cols w:space="720"/>
          <w:docGrid w:linePitch="360"/>
        </w:sectPr>
      </w:pPr>
      <w:r w:rsidRPr="00B55540">
        <w:rPr>
          <w:noProof/>
        </w:rPr>
        <w:drawing>
          <wp:inline distT="0" distB="0" distL="0" distR="0" wp14:anchorId="753BF0A5" wp14:editId="0BEAD734">
            <wp:extent cx="9231085" cy="4572000"/>
            <wp:effectExtent l="0" t="0" r="825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241575" cy="4577195"/>
                    </a:xfrm>
                    <a:prstGeom prst="rect">
                      <a:avLst/>
                    </a:prstGeom>
                    <a:noFill/>
                    <a:ln>
                      <a:noFill/>
                    </a:ln>
                  </pic:spPr>
                </pic:pic>
              </a:graphicData>
            </a:graphic>
          </wp:inline>
        </w:drawing>
      </w:r>
    </w:p>
    <w:p w14:paraId="3DE58BEF" w14:textId="2228B4FA" w:rsidR="005B4D06" w:rsidRPr="00B93451" w:rsidRDefault="00383364" w:rsidP="00B93451">
      <w:pPr>
        <w:rPr>
          <w:rFonts w:ascii="Times New Roman" w:hAnsi="Times New Roman" w:cs="Times New Roman"/>
          <w:b/>
          <w:sz w:val="24"/>
          <w:szCs w:val="24"/>
        </w:rPr>
      </w:pPr>
      <w:r w:rsidRPr="00D218A2">
        <w:rPr>
          <w:rFonts w:ascii="Times New Roman" w:hAnsi="Times New Roman" w:cs="Times New Roman"/>
          <w:b/>
          <w:sz w:val="24"/>
          <w:szCs w:val="24"/>
        </w:rPr>
        <w:lastRenderedPageBreak/>
        <w:t>From table 2.3 above:</w:t>
      </w:r>
    </w:p>
    <w:p w14:paraId="4059DDEE" w14:textId="02154807" w:rsidR="005B4D06" w:rsidRDefault="005B4D06" w:rsidP="005B4D06">
      <w:pPr>
        <w:spacing w:before="5" w:after="158" w:line="283" w:lineRule="exact"/>
        <w:rPr>
          <w:rFonts w:ascii="Times New Roman" w:hAnsi="Times New Roman" w:cs="Times New Roman"/>
          <w:sz w:val="24"/>
          <w:szCs w:val="24"/>
        </w:rPr>
      </w:pPr>
      <w:r>
        <w:rPr>
          <w:rFonts w:ascii="Times New Roman" w:hAnsi="Times New Roman" w:cs="Times New Roman"/>
          <w:sz w:val="24"/>
          <w:szCs w:val="24"/>
        </w:rPr>
        <w:t>•</w:t>
      </w:r>
      <w:r w:rsidRPr="005B4D06">
        <w:rPr>
          <w:rFonts w:ascii="Times New Roman" w:hAnsi="Times New Roman" w:cs="Times New Roman"/>
          <w:sz w:val="24"/>
          <w:szCs w:val="24"/>
        </w:rPr>
        <w:t xml:space="preserve">Average absorption was noted in all other sectors and this contributed </w:t>
      </w:r>
      <w:r w:rsidR="00CC11E6">
        <w:rPr>
          <w:rFonts w:ascii="Times New Roman" w:hAnsi="Times New Roman" w:cs="Times New Roman"/>
          <w:sz w:val="24"/>
          <w:szCs w:val="24"/>
        </w:rPr>
        <w:t xml:space="preserve">to the overall utilization of 85%. The below 100% </w:t>
      </w:r>
      <w:r w:rsidRPr="005B4D06">
        <w:rPr>
          <w:rFonts w:ascii="Times New Roman" w:hAnsi="Times New Roman" w:cs="Times New Roman"/>
          <w:sz w:val="24"/>
          <w:szCs w:val="24"/>
        </w:rPr>
        <w:t>utilization was attributed to delayed procurement of goods and services, multiplicity of projects especially in Transport and Infrastructure departments and late disbursement of funds affected the funds absorption report</w:t>
      </w:r>
      <w:r w:rsidR="00430C5B">
        <w:rPr>
          <w:rFonts w:ascii="Times New Roman" w:hAnsi="Times New Roman" w:cs="Times New Roman"/>
          <w:sz w:val="24"/>
          <w:szCs w:val="24"/>
        </w:rPr>
        <w:t>ed</w:t>
      </w:r>
      <w:r w:rsidRPr="005B4D06">
        <w:rPr>
          <w:rFonts w:ascii="Times New Roman" w:hAnsi="Times New Roman" w:cs="Times New Roman"/>
          <w:sz w:val="24"/>
          <w:szCs w:val="24"/>
        </w:rPr>
        <w:t xml:space="preserve">.  </w:t>
      </w:r>
    </w:p>
    <w:p w14:paraId="7AB247B0" w14:textId="77777777" w:rsidR="00D218A2" w:rsidRDefault="00D218A2" w:rsidP="005B4D06">
      <w:pPr>
        <w:spacing w:before="5" w:after="158" w:line="283" w:lineRule="exact"/>
        <w:rPr>
          <w:rFonts w:ascii="Times New Roman" w:hAnsi="Times New Roman" w:cs="Times New Roman"/>
          <w:sz w:val="24"/>
          <w:szCs w:val="24"/>
        </w:rPr>
      </w:pPr>
    </w:p>
    <w:p w14:paraId="674E4C25" w14:textId="0274EA6C" w:rsidR="00D218A2" w:rsidRPr="00D218A2" w:rsidRDefault="00D218A2" w:rsidP="00D218A2">
      <w:pPr>
        <w:spacing w:before="5" w:after="158" w:line="283" w:lineRule="exact"/>
        <w:rPr>
          <w:rFonts w:ascii="Times New Roman" w:hAnsi="Times New Roman" w:cs="Times New Roman"/>
          <w:sz w:val="24"/>
          <w:szCs w:val="24"/>
        </w:rPr>
      </w:pPr>
      <w:r w:rsidRPr="00D218A2">
        <w:rPr>
          <w:rFonts w:ascii="Times New Roman" w:hAnsi="Times New Roman" w:cs="Times New Roman"/>
          <w:sz w:val="24"/>
          <w:szCs w:val="24"/>
        </w:rPr>
        <w:t>Comparison between CFSP 2018 ceilings and FY 2018/19 budget allocation showed a general increase in budget allocations occasioned by increase in equitable share and conditional grants allocation to the county.</w:t>
      </w:r>
      <w:r w:rsidR="00B93451" w:rsidRPr="00B93451">
        <w:t xml:space="preserve"> </w:t>
      </w:r>
      <w:r w:rsidR="00B55540">
        <w:rPr>
          <w:rFonts w:ascii="Times New Roman" w:hAnsi="Times New Roman" w:cs="Times New Roman"/>
          <w:sz w:val="24"/>
          <w:szCs w:val="24"/>
        </w:rPr>
        <w:t xml:space="preserve">This increase </w:t>
      </w:r>
      <w:r w:rsidRPr="00D218A2">
        <w:rPr>
          <w:rFonts w:ascii="Times New Roman" w:hAnsi="Times New Roman" w:cs="Times New Roman"/>
          <w:sz w:val="24"/>
          <w:szCs w:val="24"/>
        </w:rPr>
        <w:t xml:space="preserve">was due to </w:t>
      </w:r>
      <w:r w:rsidR="00B93451" w:rsidRPr="00D218A2">
        <w:rPr>
          <w:rFonts w:ascii="Times New Roman" w:hAnsi="Times New Roman" w:cs="Times New Roman"/>
          <w:sz w:val="24"/>
          <w:szCs w:val="24"/>
        </w:rPr>
        <w:t>i</w:t>
      </w:r>
      <w:r w:rsidR="00B93451">
        <w:rPr>
          <w:rFonts w:ascii="Times New Roman" w:hAnsi="Times New Roman" w:cs="Times New Roman"/>
          <w:sz w:val="24"/>
          <w:szCs w:val="24"/>
        </w:rPr>
        <w:t>ncreased conditional funding allocation in</w:t>
      </w:r>
      <w:r w:rsidR="00430C5B">
        <w:rPr>
          <w:rFonts w:ascii="Times New Roman" w:hAnsi="Times New Roman" w:cs="Times New Roman"/>
          <w:sz w:val="24"/>
          <w:szCs w:val="24"/>
        </w:rPr>
        <w:t xml:space="preserve"> transport department and allocation to projects in the ward in </w:t>
      </w:r>
      <w:r w:rsidR="00B93451">
        <w:rPr>
          <w:rFonts w:ascii="Times New Roman" w:hAnsi="Times New Roman" w:cs="Times New Roman"/>
          <w:sz w:val="24"/>
          <w:szCs w:val="24"/>
        </w:rPr>
        <w:t>the</w:t>
      </w:r>
      <w:r w:rsidR="00430C5B">
        <w:rPr>
          <w:rFonts w:ascii="Times New Roman" w:hAnsi="Times New Roman" w:cs="Times New Roman"/>
          <w:sz w:val="24"/>
          <w:szCs w:val="24"/>
        </w:rPr>
        <w:t xml:space="preserve"> two</w:t>
      </w:r>
      <w:r w:rsidR="00B93451">
        <w:rPr>
          <w:rFonts w:ascii="Times New Roman" w:hAnsi="Times New Roman" w:cs="Times New Roman"/>
          <w:sz w:val="24"/>
          <w:szCs w:val="24"/>
        </w:rPr>
        <w:t xml:space="preserve"> departments</w:t>
      </w:r>
      <w:r w:rsidRPr="00D218A2">
        <w:rPr>
          <w:rFonts w:ascii="Times New Roman" w:hAnsi="Times New Roman" w:cs="Times New Roman"/>
          <w:sz w:val="24"/>
          <w:szCs w:val="24"/>
        </w:rPr>
        <w:t xml:space="preserve">. Most of the departments had variation between the CFSP amount and the budget which was due to change in government priorities during the year and increased conditional allocations from national revenue. </w:t>
      </w:r>
    </w:p>
    <w:p w14:paraId="24752047" w14:textId="07EFE1C5" w:rsidR="00D218A2" w:rsidRPr="00766EF1" w:rsidRDefault="00D218A2" w:rsidP="00D218A2">
      <w:pPr>
        <w:spacing w:before="5" w:after="158" w:line="283" w:lineRule="exact"/>
        <w:rPr>
          <w:rFonts w:ascii="Times New Roman" w:hAnsi="Times New Roman" w:cs="Times New Roman"/>
          <w:sz w:val="24"/>
          <w:szCs w:val="24"/>
        </w:rPr>
        <w:sectPr w:rsidR="00D218A2" w:rsidRPr="00766EF1" w:rsidSect="00D218A2">
          <w:pgSz w:w="11907" w:h="16839" w:code="9"/>
          <w:pgMar w:top="1440" w:right="270" w:bottom="1440" w:left="1440" w:header="720" w:footer="720" w:gutter="0"/>
          <w:cols w:space="720"/>
          <w:docGrid w:linePitch="360"/>
        </w:sectPr>
      </w:pPr>
    </w:p>
    <w:p w14:paraId="418125FA" w14:textId="77777777" w:rsidR="002C0AAE" w:rsidRPr="00766EF1" w:rsidRDefault="002C0AAE" w:rsidP="00A8135F">
      <w:pPr>
        <w:pStyle w:val="Heading1"/>
        <w:numPr>
          <w:ilvl w:val="0"/>
          <w:numId w:val="24"/>
        </w:numPr>
        <w:pBdr>
          <w:bottom w:val="single" w:sz="4" w:space="1" w:color="auto"/>
        </w:pBdr>
        <w:spacing w:after="240"/>
        <w:ind w:hanging="720"/>
        <w:rPr>
          <w:rFonts w:ascii="Times New Roman" w:hAnsi="Times New Roman" w:cs="Times New Roman"/>
          <w:color w:val="auto"/>
          <w:sz w:val="24"/>
          <w:szCs w:val="24"/>
        </w:rPr>
      </w:pPr>
      <w:bookmarkStart w:id="60" w:name="_Toc23266829"/>
      <w:r w:rsidRPr="00766EF1">
        <w:rPr>
          <w:rFonts w:ascii="Times New Roman" w:hAnsi="Times New Roman" w:cs="Times New Roman"/>
          <w:color w:val="auto"/>
          <w:sz w:val="24"/>
          <w:szCs w:val="24"/>
        </w:rPr>
        <w:lastRenderedPageBreak/>
        <w:t>RECENT ECONOMIC DEVELOPMENTS AND OUTLOOK</w:t>
      </w:r>
      <w:bookmarkEnd w:id="60"/>
    </w:p>
    <w:p w14:paraId="65DA7613" w14:textId="70053246" w:rsidR="009D1572" w:rsidRPr="008F43B5" w:rsidRDefault="009D1572" w:rsidP="008F43B5">
      <w:pPr>
        <w:pStyle w:val="Heading2"/>
        <w:rPr>
          <w:rFonts w:ascii="Times New Roman" w:eastAsiaTheme="minorHAnsi" w:hAnsi="Times New Roman" w:cs="Times New Roman"/>
          <w:color w:val="auto"/>
          <w:sz w:val="24"/>
          <w:szCs w:val="24"/>
        </w:rPr>
      </w:pPr>
      <w:bookmarkStart w:id="61" w:name="_Toc23266830"/>
      <w:r w:rsidRPr="008F43B5">
        <w:rPr>
          <w:rFonts w:ascii="Times New Roman" w:eastAsiaTheme="minorHAnsi" w:hAnsi="Times New Roman" w:cs="Times New Roman"/>
          <w:color w:val="auto"/>
          <w:sz w:val="24"/>
          <w:szCs w:val="24"/>
        </w:rPr>
        <w:t>3.1</w:t>
      </w:r>
      <w:r w:rsidRPr="008F43B5">
        <w:rPr>
          <w:rFonts w:ascii="Times New Roman" w:eastAsiaTheme="minorHAnsi" w:hAnsi="Times New Roman" w:cs="Times New Roman"/>
          <w:color w:val="auto"/>
          <w:sz w:val="24"/>
          <w:szCs w:val="24"/>
        </w:rPr>
        <w:tab/>
      </w:r>
      <w:r w:rsidR="008F43B5" w:rsidRPr="008F43B5">
        <w:rPr>
          <w:rFonts w:ascii="Times New Roman" w:eastAsiaTheme="minorHAnsi" w:hAnsi="Times New Roman" w:cs="Times New Roman"/>
          <w:color w:val="auto"/>
          <w:sz w:val="24"/>
          <w:szCs w:val="24"/>
        </w:rPr>
        <w:t>overview</w:t>
      </w:r>
      <w:bookmarkEnd w:id="61"/>
      <w:r w:rsidR="008F43B5" w:rsidRPr="008F43B5">
        <w:rPr>
          <w:rFonts w:ascii="Times New Roman" w:eastAsiaTheme="minorHAnsi" w:hAnsi="Times New Roman" w:cs="Times New Roman"/>
          <w:color w:val="auto"/>
          <w:sz w:val="24"/>
          <w:szCs w:val="24"/>
        </w:rPr>
        <w:t xml:space="preserve"> </w:t>
      </w:r>
    </w:p>
    <w:p w14:paraId="08F0B709" w14:textId="77777777" w:rsidR="009D1572" w:rsidRPr="00C26BA4" w:rsidRDefault="009D1572" w:rsidP="009D1572">
      <w:pPr>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 xml:space="preserve">Kenya’s economy continues to register strong economic performance. The economy expanded by 6.3 percent in 2018 up from a growth of 4.9 percent in 2017. This growth was supported by strong agricultural and manufacturing activities, vibrant service sector, stable macroeconomic environment, ongoing public infrastructural investments and sustained business confidence. The outlook for Kenya’s economy is strong, projected at 6.0 percent in 2019. In the first quarter of 2019, the economy expanded by 5.6 percent compared to a growth of 6.5 percent in the same quarter of 2018 supported by strong growth in the service sector industries despite contraction in agricultural activities due to delayed rains. </w:t>
      </w:r>
    </w:p>
    <w:p w14:paraId="15AA789D" w14:textId="77777777" w:rsidR="009D1572" w:rsidRPr="00C26BA4" w:rsidRDefault="009D1572" w:rsidP="009D1572">
      <w:pPr>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 xml:space="preserve">The economy continues to register macroeconomic stability with low and stable interest rates and competitive exchange rate to support exports. </w:t>
      </w:r>
    </w:p>
    <w:p w14:paraId="47E1D62F" w14:textId="77777777" w:rsidR="009D1572" w:rsidRPr="00C26BA4" w:rsidRDefault="009D1572" w:rsidP="009D1572">
      <w:pPr>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The overall Year-on-year overall inflation remained within the government target range at 5.0 percent in August 2019 up from 4.0 percent in August 2018. This increase reflected higher prices of key food items such as carrots, potatoes, sifted maize flour, cabbages, and fresh packed milk, due to delayed long rain. Electricity cost, kerosene price and house rent also increased during the same period. The delay in the onset of rains resulted in lower agricultural activities and rising food inflation from March 2018. However, food inflation declined from 7.9 percent in July 2019 to 6.7 percent in August 2019 reflecting declining prices of key foo</w:t>
      </w:r>
    </w:p>
    <w:p w14:paraId="3DE296ED" w14:textId="0E86FDA3" w:rsidR="009D1572" w:rsidRPr="00C26BA4" w:rsidRDefault="009D1572" w:rsidP="009D1572">
      <w:pPr>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 xml:space="preserve">The Kenya Shilling has been relatively stable supported by continued narrowing of the current account deficit and adequate reserve buffer.  The Shilling appreciated against the Euro and the Sterling pound exchanging at </w:t>
      </w:r>
      <w:r w:rsidR="00914039">
        <w:rPr>
          <w:rFonts w:ascii="Times New Roman" w:eastAsiaTheme="minorHAnsi" w:hAnsi="Times New Roman" w:cs="Times New Roman"/>
          <w:sz w:val="24"/>
          <w:szCs w:val="24"/>
        </w:rPr>
        <w:t>Kshs</w:t>
      </w:r>
      <w:r w:rsidRPr="00C26BA4">
        <w:rPr>
          <w:rFonts w:ascii="Times New Roman" w:eastAsiaTheme="minorHAnsi" w:hAnsi="Times New Roman" w:cs="Times New Roman"/>
          <w:sz w:val="24"/>
          <w:szCs w:val="24"/>
        </w:rPr>
        <w:t xml:space="preserve"> 114.9 and </w:t>
      </w:r>
      <w:r w:rsidR="00914039">
        <w:rPr>
          <w:rFonts w:ascii="Times New Roman" w:eastAsiaTheme="minorHAnsi" w:hAnsi="Times New Roman" w:cs="Times New Roman"/>
          <w:sz w:val="24"/>
          <w:szCs w:val="24"/>
        </w:rPr>
        <w:t>Kshs</w:t>
      </w:r>
      <w:r w:rsidRPr="00C26BA4">
        <w:rPr>
          <w:rFonts w:ascii="Times New Roman" w:eastAsiaTheme="minorHAnsi" w:hAnsi="Times New Roman" w:cs="Times New Roman"/>
          <w:sz w:val="24"/>
          <w:szCs w:val="24"/>
        </w:rPr>
        <w:t xml:space="preserve"> 125.5 in August 2019 from </w:t>
      </w:r>
      <w:r w:rsidR="00914039">
        <w:rPr>
          <w:rFonts w:ascii="Times New Roman" w:eastAsiaTheme="minorHAnsi" w:hAnsi="Times New Roman" w:cs="Times New Roman"/>
          <w:sz w:val="24"/>
          <w:szCs w:val="24"/>
        </w:rPr>
        <w:t>Kshs</w:t>
      </w:r>
      <w:r w:rsidRPr="00C26BA4">
        <w:rPr>
          <w:rFonts w:ascii="Times New Roman" w:eastAsiaTheme="minorHAnsi" w:hAnsi="Times New Roman" w:cs="Times New Roman"/>
          <w:sz w:val="24"/>
          <w:szCs w:val="24"/>
        </w:rPr>
        <w:t xml:space="preserve"> 116.2 and </w:t>
      </w:r>
      <w:r w:rsidR="00914039">
        <w:rPr>
          <w:rFonts w:ascii="Times New Roman" w:eastAsiaTheme="minorHAnsi" w:hAnsi="Times New Roman" w:cs="Times New Roman"/>
          <w:sz w:val="24"/>
          <w:szCs w:val="24"/>
        </w:rPr>
        <w:t>Kshs</w:t>
      </w:r>
      <w:r w:rsidRPr="00C26BA4">
        <w:rPr>
          <w:rFonts w:ascii="Times New Roman" w:eastAsiaTheme="minorHAnsi" w:hAnsi="Times New Roman" w:cs="Times New Roman"/>
          <w:sz w:val="24"/>
          <w:szCs w:val="24"/>
        </w:rPr>
        <w:t xml:space="preserve"> 129.7 in August 2018, respectively. However, against the US Dollar, the Shilling weakened in August 2019 exchanging at 103.3 compared to the same period in 2018 where </w:t>
      </w:r>
      <w:r w:rsidR="00914039">
        <w:rPr>
          <w:rFonts w:ascii="Times New Roman" w:eastAsiaTheme="minorHAnsi" w:hAnsi="Times New Roman" w:cs="Times New Roman"/>
          <w:sz w:val="24"/>
          <w:szCs w:val="24"/>
        </w:rPr>
        <w:t>Kshs</w:t>
      </w:r>
      <w:r w:rsidRPr="00C26BA4">
        <w:rPr>
          <w:rFonts w:ascii="Times New Roman" w:eastAsiaTheme="minorHAnsi" w:hAnsi="Times New Roman" w:cs="Times New Roman"/>
          <w:sz w:val="24"/>
          <w:szCs w:val="24"/>
        </w:rPr>
        <w:t xml:space="preserve"> 100.6 were required to buy one Dollar. The depreciation of shilling is attributed to increased demand for import and excess liquidity in the money market</w:t>
      </w:r>
    </w:p>
    <w:p w14:paraId="38C4D15F" w14:textId="77777777" w:rsidR="009D1572" w:rsidRPr="00C26BA4" w:rsidRDefault="009D1572" w:rsidP="009D1572">
      <w:pPr>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Short-term interest rates have remained fairly low and stable. The Monetary Policy Committee in July 2019 retained the Central Bank Rate at 9.0 percent. The interbank rate remained low at 3.6 percent in August 2019 from 6.52 percent in August 2018 due to ample liquidity in the money market .The 91-day Treasury bill rate declined to 6.4 percent in August 2019 compared to 7.6 percent over the same period in August 2018.</w:t>
      </w:r>
    </w:p>
    <w:p w14:paraId="71A10A17" w14:textId="77777777" w:rsidR="009D1572" w:rsidRPr="00C26BA4" w:rsidRDefault="009D1572" w:rsidP="009D1572">
      <w:pPr>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Annual credit to the private sector grew by 5.2 percent in the year to June 2019, compared to a growth of 4.3 percent in the year to June 2018. In particular, lending to finance and insurance, consumer durables, trade, manufacturing, transport and communication and private household sectors grew by 4.7 percent, 21.3 percent, 5.5 percent, 11.4 percent, 5.8 percent and 7.6 percent, respectively</w:t>
      </w:r>
    </w:p>
    <w:p w14:paraId="4A0D19BA" w14:textId="77777777" w:rsidR="009D1572" w:rsidRPr="00C26BA4" w:rsidRDefault="009D1572" w:rsidP="009D1572">
      <w:pPr>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lastRenderedPageBreak/>
        <w:t>The foreign exchange market remains stable supported by a narrower current account deficit. The current account deficit narrowed to 3.8 percent of GDP in June 2019, from 5.4 percent in June 2018, reflecting strong growth of agricultural exports particularly horticulture and coffee, resilient diaspora remittances, and improved tourism receipts. The international reserves accumulation stood at US$ 9,656 million equivalent to 6.0 months of import cover</w:t>
      </w:r>
    </w:p>
    <w:p w14:paraId="73A0DAB2" w14:textId="77777777" w:rsidR="009D1572" w:rsidRPr="008F43B5" w:rsidRDefault="009D1572" w:rsidP="008F43B5">
      <w:pPr>
        <w:pStyle w:val="Heading2"/>
        <w:rPr>
          <w:rFonts w:ascii="Times New Roman" w:eastAsiaTheme="minorHAnsi" w:hAnsi="Times New Roman" w:cs="Times New Roman"/>
          <w:color w:val="auto"/>
          <w:sz w:val="24"/>
          <w:szCs w:val="24"/>
        </w:rPr>
      </w:pPr>
      <w:bookmarkStart w:id="62" w:name="_Toc23266831"/>
      <w:r w:rsidRPr="008F43B5">
        <w:rPr>
          <w:rFonts w:ascii="Times New Roman" w:eastAsiaTheme="minorHAnsi" w:hAnsi="Times New Roman" w:cs="Times New Roman"/>
          <w:color w:val="auto"/>
          <w:sz w:val="24"/>
          <w:szCs w:val="24"/>
        </w:rPr>
        <w:t>3.2</w:t>
      </w:r>
      <w:r w:rsidRPr="008F43B5">
        <w:rPr>
          <w:rFonts w:ascii="Times New Roman" w:eastAsiaTheme="minorHAnsi" w:hAnsi="Times New Roman" w:cs="Times New Roman"/>
          <w:color w:val="auto"/>
          <w:sz w:val="24"/>
          <w:szCs w:val="24"/>
        </w:rPr>
        <w:tab/>
        <w:t>County Economic Outlook and Policies</w:t>
      </w:r>
      <w:bookmarkEnd w:id="62"/>
    </w:p>
    <w:p w14:paraId="7CF2CE9B" w14:textId="3CD452CC" w:rsidR="009D1572" w:rsidRPr="00C26BA4" w:rsidRDefault="009D1572" w:rsidP="009D1572">
      <w:pPr>
        <w:rPr>
          <w:rFonts w:ascii="Times New Roman" w:eastAsia="Calibri" w:hAnsi="Times New Roman" w:cs="Times New Roman"/>
          <w:sz w:val="24"/>
          <w:szCs w:val="24"/>
          <w:lang w:eastAsia="x-none"/>
        </w:rPr>
      </w:pPr>
      <w:r w:rsidRPr="00C26BA4">
        <w:rPr>
          <w:rFonts w:ascii="Times New Roman" w:eastAsia="Calibri" w:hAnsi="Times New Roman" w:cs="Times New Roman"/>
          <w:sz w:val="24"/>
          <w:szCs w:val="24"/>
          <w:lang w:eastAsia="x-none"/>
        </w:rPr>
        <w:t>The county has made strides</w:t>
      </w:r>
      <w:r w:rsidR="001A4E59">
        <w:rPr>
          <w:rFonts w:ascii="Times New Roman" w:eastAsia="Calibri" w:hAnsi="Times New Roman" w:cs="Times New Roman"/>
          <w:sz w:val="24"/>
          <w:szCs w:val="24"/>
          <w:lang w:eastAsia="x-none"/>
        </w:rPr>
        <w:t xml:space="preserve"> in implementing its policies t</w:t>
      </w:r>
      <w:r w:rsidRPr="00C26BA4">
        <w:rPr>
          <w:rFonts w:ascii="Times New Roman" w:eastAsia="Calibri" w:hAnsi="Times New Roman" w:cs="Times New Roman"/>
          <w:sz w:val="24"/>
          <w:szCs w:val="24"/>
          <w:lang w:eastAsia="x-none"/>
        </w:rPr>
        <w:t>hrough the implementation of the projects in</w:t>
      </w:r>
      <w:r w:rsidR="001A4E59">
        <w:rPr>
          <w:rFonts w:ascii="Times New Roman" w:eastAsia="Calibri" w:hAnsi="Times New Roman" w:cs="Times New Roman"/>
          <w:sz w:val="24"/>
          <w:szCs w:val="24"/>
          <w:lang w:eastAsia="x-none"/>
        </w:rPr>
        <w:t xml:space="preserve"> the CIDP 2018/2022 and the ADP</w:t>
      </w:r>
      <w:r w:rsidRPr="00C26BA4">
        <w:rPr>
          <w:rFonts w:ascii="Times New Roman" w:eastAsia="Calibri" w:hAnsi="Times New Roman" w:cs="Times New Roman"/>
          <w:sz w:val="24"/>
          <w:szCs w:val="24"/>
          <w:lang w:eastAsia="x-none"/>
        </w:rPr>
        <w:t xml:space="preserve">. The Developments, in future provides a path to grow the county economy by improving people and communities’ wellbeing, income, investments.  </w:t>
      </w:r>
    </w:p>
    <w:p w14:paraId="09ECF863" w14:textId="77777777" w:rsidR="009D1572" w:rsidRPr="008F43B5" w:rsidRDefault="009D1572" w:rsidP="008F43B5">
      <w:pPr>
        <w:pStyle w:val="Heading3"/>
        <w:rPr>
          <w:rFonts w:ascii="Times New Roman" w:eastAsiaTheme="minorHAnsi" w:hAnsi="Times New Roman" w:cs="Times New Roman"/>
          <w:color w:val="auto"/>
        </w:rPr>
      </w:pPr>
      <w:bookmarkStart w:id="63" w:name="_Toc23266832"/>
      <w:r w:rsidRPr="008F43B5">
        <w:rPr>
          <w:rFonts w:ascii="Times New Roman" w:eastAsiaTheme="minorHAnsi" w:hAnsi="Times New Roman" w:cs="Times New Roman"/>
          <w:color w:val="auto"/>
        </w:rPr>
        <w:t>3.2.1</w:t>
      </w:r>
      <w:r w:rsidRPr="008F43B5">
        <w:rPr>
          <w:rFonts w:ascii="Times New Roman" w:eastAsiaTheme="minorHAnsi" w:hAnsi="Times New Roman" w:cs="Times New Roman"/>
          <w:color w:val="auto"/>
        </w:rPr>
        <w:tab/>
        <w:t>Agriculture Rural and Urban Development</w:t>
      </w:r>
      <w:bookmarkEnd w:id="63"/>
    </w:p>
    <w:p w14:paraId="6301ACFA" w14:textId="767AE13D" w:rsidR="009D1572" w:rsidRPr="00C26BA4" w:rsidRDefault="00501E93" w:rsidP="009D1572">
      <w:pPr>
        <w:spacing w:after="0" w:line="312" w:lineRule="auto"/>
        <w:contextualSpacing/>
        <w:jc w:val="both"/>
        <w:rPr>
          <w:rFonts w:ascii="Times New Roman" w:eastAsia="Calibri" w:hAnsi="Times New Roman" w:cs="Times New Roman"/>
          <w:sz w:val="24"/>
          <w:szCs w:val="24"/>
          <w:lang w:eastAsia="x-none"/>
        </w:rPr>
      </w:pPr>
      <w:r>
        <w:rPr>
          <w:rFonts w:ascii="Times New Roman" w:eastAsia="Calibri" w:hAnsi="Times New Roman" w:cs="Times New Roman"/>
          <w:sz w:val="24"/>
          <w:szCs w:val="24"/>
          <w:lang w:eastAsia="x-none"/>
        </w:rPr>
        <w:t>Planting of</w:t>
      </w:r>
      <w:r w:rsidR="009D1572" w:rsidRPr="00C26BA4">
        <w:rPr>
          <w:rFonts w:ascii="Times New Roman" w:eastAsia="Calibri" w:hAnsi="Times New Roman" w:cs="Times New Roman"/>
          <w:sz w:val="24"/>
          <w:szCs w:val="24"/>
          <w:lang w:eastAsia="x-none"/>
        </w:rPr>
        <w:t xml:space="preserve"> grafted macadamia and avocado seedlings respectively has seen a</w:t>
      </w:r>
      <w:r>
        <w:rPr>
          <w:rFonts w:ascii="Times New Roman" w:eastAsia="Calibri" w:hAnsi="Times New Roman" w:cs="Times New Roman"/>
          <w:sz w:val="24"/>
          <w:szCs w:val="24"/>
          <w:lang w:eastAsia="x-none"/>
        </w:rPr>
        <w:t xml:space="preserve">pproximately </w:t>
      </w:r>
      <w:r w:rsidR="009D1572" w:rsidRPr="00C26BA4">
        <w:rPr>
          <w:rFonts w:ascii="Times New Roman" w:eastAsia="Calibri" w:hAnsi="Times New Roman" w:cs="Times New Roman"/>
          <w:sz w:val="24"/>
          <w:szCs w:val="24"/>
          <w:lang w:eastAsia="x-none"/>
        </w:rPr>
        <w:t>28,000 farmers start improving on their income. A further target of 200,000 trees for both crops planned in the year 2019/2020 will see over 5407MT and 4549MT respectively produced in the county increasing the income per household in the county. Continued vaccination of 180,000 livestock against various trade sensitive diseases improved trade income and safeguarded livelihoods.</w:t>
      </w:r>
    </w:p>
    <w:p w14:paraId="5255E9CE" w14:textId="77777777" w:rsidR="009D1572" w:rsidRPr="00C26BA4" w:rsidRDefault="009D1572" w:rsidP="009D1572">
      <w:pPr>
        <w:spacing w:after="0" w:line="312" w:lineRule="auto"/>
        <w:contextualSpacing/>
        <w:jc w:val="both"/>
        <w:rPr>
          <w:rFonts w:ascii="Times New Roman" w:eastAsia="Calibri" w:hAnsi="Times New Roman" w:cs="Times New Roman"/>
          <w:sz w:val="24"/>
          <w:szCs w:val="24"/>
          <w:lang w:eastAsia="x-none"/>
        </w:rPr>
      </w:pPr>
    </w:p>
    <w:p w14:paraId="44F76EC2" w14:textId="336BF8E1" w:rsidR="009D1572" w:rsidRPr="008F43B5" w:rsidRDefault="008F43B5" w:rsidP="008F43B5">
      <w:pPr>
        <w:pStyle w:val="Heading3"/>
        <w:rPr>
          <w:rFonts w:eastAsiaTheme="minorHAnsi"/>
          <w:color w:val="auto"/>
        </w:rPr>
      </w:pPr>
      <w:bookmarkStart w:id="64" w:name="_Toc23266833"/>
      <w:r>
        <w:rPr>
          <w:rFonts w:eastAsiaTheme="minorHAnsi"/>
          <w:color w:val="auto"/>
        </w:rPr>
        <w:t xml:space="preserve">3.2.2 </w:t>
      </w:r>
      <w:r w:rsidR="009D1572" w:rsidRPr="008F43B5">
        <w:rPr>
          <w:rFonts w:eastAsiaTheme="minorHAnsi"/>
          <w:color w:val="auto"/>
        </w:rPr>
        <w:t>Energy, Infrastructure and ICT</w:t>
      </w:r>
      <w:bookmarkEnd w:id="64"/>
    </w:p>
    <w:p w14:paraId="6360EA08" w14:textId="17A9A02C" w:rsidR="009D1572" w:rsidRPr="00C26BA4" w:rsidRDefault="00A9215B" w:rsidP="009D1572">
      <w:pPr>
        <w:spacing w:after="0" w:line="312" w:lineRule="auto"/>
        <w:contextualSpacing/>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During the financial years 2017/18-2018/19, the department embarked on; installation of floodlights; laying of cabro and surface dressing, constructing bridges, opening, grading and</w:t>
      </w:r>
      <w:r w:rsidR="009D1572" w:rsidRPr="00C26BA4">
        <w:rPr>
          <w:rFonts w:ascii="Times New Roman" w:eastAsiaTheme="minorHAnsi" w:hAnsi="Times New Roman" w:cs="Times New Roman"/>
          <w:sz w:val="24"/>
          <w:szCs w:val="24"/>
        </w:rPr>
        <w:t xml:space="preserve"> gravelling</w:t>
      </w:r>
      <w:r>
        <w:rPr>
          <w:rFonts w:ascii="Times New Roman" w:eastAsiaTheme="minorHAnsi" w:hAnsi="Times New Roman" w:cs="Times New Roman"/>
          <w:sz w:val="24"/>
          <w:szCs w:val="24"/>
        </w:rPr>
        <w:t xml:space="preserve"> of roads</w:t>
      </w:r>
      <w:r w:rsidR="009D1572" w:rsidRPr="00C26BA4">
        <w:rPr>
          <w:rFonts w:ascii="Times New Roman" w:eastAsiaTheme="minorHAnsi" w:hAnsi="Times New Roman" w:cs="Times New Roman"/>
          <w:sz w:val="24"/>
          <w:szCs w:val="24"/>
        </w:rPr>
        <w:t xml:space="preserve">, </w:t>
      </w:r>
      <w:r>
        <w:rPr>
          <w:rFonts w:ascii="Times New Roman" w:eastAsiaTheme="minorHAnsi" w:hAnsi="Times New Roman" w:cs="Times New Roman"/>
          <w:sz w:val="24"/>
          <w:szCs w:val="24"/>
        </w:rPr>
        <w:t xml:space="preserve">installation of </w:t>
      </w:r>
      <w:r w:rsidR="009D1572" w:rsidRPr="00C26BA4">
        <w:rPr>
          <w:rFonts w:ascii="Times New Roman" w:eastAsiaTheme="minorHAnsi" w:hAnsi="Times New Roman" w:cs="Times New Roman"/>
          <w:sz w:val="24"/>
          <w:szCs w:val="24"/>
        </w:rPr>
        <w:t>culvert and gabion</w:t>
      </w:r>
      <w:r>
        <w:rPr>
          <w:rFonts w:ascii="Times New Roman" w:eastAsiaTheme="minorHAnsi" w:hAnsi="Times New Roman" w:cs="Times New Roman"/>
          <w:sz w:val="24"/>
          <w:szCs w:val="24"/>
        </w:rPr>
        <w:t>s</w:t>
      </w:r>
      <w:r w:rsidR="009D1572" w:rsidRPr="00C26BA4">
        <w:rPr>
          <w:rFonts w:ascii="Times New Roman" w:eastAsiaTheme="minorHAnsi" w:hAnsi="Times New Roman" w:cs="Times New Roman"/>
          <w:sz w:val="24"/>
          <w:szCs w:val="24"/>
        </w:rPr>
        <w:t xml:space="preserve"> and drainage </w:t>
      </w:r>
      <w:r w:rsidRPr="00C26BA4">
        <w:rPr>
          <w:rFonts w:ascii="Times New Roman" w:eastAsiaTheme="minorHAnsi" w:hAnsi="Times New Roman" w:cs="Times New Roman"/>
          <w:sz w:val="24"/>
          <w:szCs w:val="24"/>
        </w:rPr>
        <w:t>improvement</w:t>
      </w:r>
      <w:r>
        <w:rPr>
          <w:rFonts w:ascii="Times New Roman" w:eastAsiaTheme="minorHAnsi" w:hAnsi="Times New Roman" w:cs="Times New Roman"/>
          <w:sz w:val="24"/>
          <w:szCs w:val="24"/>
        </w:rPr>
        <w:t>. The county government will continue with improvement of roads infrastructure and have engaged in a contract with the national government through the MTEF initiative to develop roads</w:t>
      </w:r>
      <w:r w:rsidR="00A90488">
        <w:rPr>
          <w:rFonts w:ascii="Times New Roman" w:eastAsiaTheme="minorHAnsi" w:hAnsi="Times New Roman" w:cs="Times New Roman"/>
          <w:sz w:val="24"/>
          <w:szCs w:val="24"/>
        </w:rPr>
        <w:t>, which is efficient and cost effetive</w:t>
      </w:r>
      <w:r>
        <w:rPr>
          <w:rFonts w:ascii="Times New Roman" w:eastAsiaTheme="minorHAnsi" w:hAnsi="Times New Roman" w:cs="Times New Roman"/>
          <w:sz w:val="24"/>
          <w:szCs w:val="24"/>
        </w:rPr>
        <w:t xml:space="preserve"> across the county during the FY</w:t>
      </w:r>
      <w:r w:rsidR="009D1572" w:rsidRPr="00C26BA4">
        <w:rPr>
          <w:rFonts w:ascii="Times New Roman" w:eastAsiaTheme="minorHAnsi" w:hAnsi="Times New Roman" w:cs="Times New Roman"/>
          <w:sz w:val="24"/>
          <w:szCs w:val="24"/>
        </w:rPr>
        <w:t>2019/2020.</w:t>
      </w:r>
    </w:p>
    <w:p w14:paraId="20583412" w14:textId="77777777" w:rsidR="009D1572" w:rsidRPr="00C26BA4" w:rsidRDefault="009D1572" w:rsidP="009D1572">
      <w:pPr>
        <w:spacing w:after="0" w:line="312" w:lineRule="auto"/>
        <w:contextualSpacing/>
        <w:jc w:val="both"/>
        <w:rPr>
          <w:rFonts w:ascii="Times New Roman" w:eastAsiaTheme="minorHAnsi" w:hAnsi="Times New Roman" w:cs="Times New Roman"/>
          <w:b/>
          <w:sz w:val="24"/>
          <w:szCs w:val="24"/>
        </w:rPr>
      </w:pPr>
    </w:p>
    <w:p w14:paraId="72D250D5" w14:textId="22F7F4BE" w:rsidR="009D1572" w:rsidRPr="008F43B5" w:rsidRDefault="008F43B5" w:rsidP="008F43B5">
      <w:pPr>
        <w:pStyle w:val="Heading3"/>
        <w:rPr>
          <w:rFonts w:ascii="Times New Roman" w:eastAsiaTheme="minorHAnsi" w:hAnsi="Times New Roman" w:cs="Times New Roman"/>
          <w:color w:val="auto"/>
          <w:sz w:val="24"/>
          <w:szCs w:val="24"/>
        </w:rPr>
      </w:pPr>
      <w:bookmarkStart w:id="65" w:name="_Toc23266834"/>
      <w:r>
        <w:rPr>
          <w:rFonts w:ascii="Times New Roman" w:eastAsiaTheme="minorHAnsi" w:hAnsi="Times New Roman" w:cs="Times New Roman"/>
          <w:color w:val="auto"/>
          <w:sz w:val="24"/>
          <w:szCs w:val="24"/>
        </w:rPr>
        <w:t>3.2.3</w:t>
      </w:r>
      <w:r w:rsidR="00A9215B">
        <w:rPr>
          <w:rFonts w:ascii="Times New Roman" w:eastAsiaTheme="minorHAnsi" w:hAnsi="Times New Roman" w:cs="Times New Roman"/>
          <w:color w:val="auto"/>
          <w:sz w:val="24"/>
          <w:szCs w:val="24"/>
        </w:rPr>
        <w:t xml:space="preserve"> </w:t>
      </w:r>
      <w:r w:rsidR="001A4E59">
        <w:rPr>
          <w:rFonts w:ascii="Times New Roman" w:eastAsiaTheme="minorHAnsi" w:hAnsi="Times New Roman" w:cs="Times New Roman"/>
          <w:color w:val="auto"/>
          <w:sz w:val="24"/>
          <w:szCs w:val="24"/>
        </w:rPr>
        <w:t>General Economic, Commercial a</w:t>
      </w:r>
      <w:r w:rsidR="009D1572" w:rsidRPr="008F43B5">
        <w:rPr>
          <w:rFonts w:ascii="Times New Roman" w:eastAsiaTheme="minorHAnsi" w:hAnsi="Times New Roman" w:cs="Times New Roman"/>
          <w:color w:val="auto"/>
          <w:sz w:val="24"/>
          <w:szCs w:val="24"/>
        </w:rPr>
        <w:t>nd Labour Affairs Sector</w:t>
      </w:r>
      <w:bookmarkEnd w:id="65"/>
    </w:p>
    <w:p w14:paraId="09D09F12" w14:textId="25C34025" w:rsidR="002A2174" w:rsidRDefault="00A07160" w:rsidP="009D1572">
      <w:pPr>
        <w:spacing w:after="0" w:line="360" w:lineRule="auto"/>
        <w:contextualSpacing/>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 xml:space="preserve">This </w:t>
      </w:r>
      <w:r w:rsidR="002A2174">
        <w:rPr>
          <w:rFonts w:ascii="Times New Roman" w:eastAsiaTheme="minorHAnsi" w:hAnsi="Times New Roman" w:cs="Times New Roman"/>
          <w:sz w:val="24"/>
          <w:szCs w:val="24"/>
        </w:rPr>
        <w:t>sector during</w:t>
      </w:r>
      <w:r>
        <w:rPr>
          <w:rFonts w:ascii="Times New Roman" w:eastAsiaTheme="minorHAnsi" w:hAnsi="Times New Roman" w:cs="Times New Roman"/>
          <w:sz w:val="24"/>
          <w:szCs w:val="24"/>
        </w:rPr>
        <w:t xml:space="preserve"> the </w:t>
      </w:r>
      <w:r w:rsidR="002A2174">
        <w:rPr>
          <w:rFonts w:ascii="Times New Roman" w:eastAsiaTheme="minorHAnsi" w:hAnsi="Times New Roman" w:cs="Times New Roman"/>
          <w:sz w:val="24"/>
          <w:szCs w:val="24"/>
        </w:rPr>
        <w:t>financial year</w:t>
      </w:r>
      <w:r>
        <w:rPr>
          <w:rFonts w:ascii="Times New Roman" w:eastAsiaTheme="minorHAnsi" w:hAnsi="Times New Roman" w:cs="Times New Roman"/>
          <w:sz w:val="24"/>
          <w:szCs w:val="24"/>
        </w:rPr>
        <w:t xml:space="preserve"> </w:t>
      </w:r>
      <w:r w:rsidR="009D1572" w:rsidRPr="00C26BA4">
        <w:rPr>
          <w:rFonts w:ascii="Times New Roman" w:eastAsiaTheme="minorHAnsi" w:hAnsi="Times New Roman" w:cs="Times New Roman"/>
          <w:sz w:val="24"/>
          <w:szCs w:val="24"/>
        </w:rPr>
        <w:t>2018/2019</w:t>
      </w:r>
      <w:r>
        <w:rPr>
          <w:rFonts w:ascii="Times New Roman" w:eastAsiaTheme="minorHAnsi" w:hAnsi="Times New Roman" w:cs="Times New Roman"/>
          <w:sz w:val="24"/>
          <w:szCs w:val="24"/>
        </w:rPr>
        <w:t xml:space="preserve"> appropriated resources towards construction of </w:t>
      </w:r>
      <w:r w:rsidR="009D1572" w:rsidRPr="00C26BA4">
        <w:rPr>
          <w:rFonts w:ascii="Times New Roman" w:eastAsiaTheme="minorHAnsi" w:hAnsi="Times New Roman" w:cs="Times New Roman"/>
          <w:sz w:val="24"/>
          <w:szCs w:val="24"/>
        </w:rPr>
        <w:t>Modern Kiosks as incubation centers to SMEs:</w:t>
      </w:r>
      <w:r w:rsidR="008340C6">
        <w:rPr>
          <w:rFonts w:ascii="Times New Roman" w:eastAsiaTheme="minorHAnsi" w:hAnsi="Times New Roman" w:cs="Times New Roman"/>
          <w:sz w:val="24"/>
          <w:szCs w:val="24"/>
        </w:rPr>
        <w:t xml:space="preserve"> construction and upgrading of markets infrastructure, training of traders and </w:t>
      </w:r>
      <w:r w:rsidR="002A2174">
        <w:rPr>
          <w:rFonts w:ascii="Times New Roman" w:eastAsiaTheme="minorHAnsi" w:hAnsi="Times New Roman" w:cs="Times New Roman"/>
          <w:sz w:val="24"/>
          <w:szCs w:val="24"/>
        </w:rPr>
        <w:t>entrepreneurs</w:t>
      </w:r>
      <w:r w:rsidR="008340C6">
        <w:rPr>
          <w:rFonts w:ascii="Times New Roman" w:eastAsiaTheme="minorHAnsi" w:hAnsi="Times New Roman" w:cs="Times New Roman"/>
          <w:sz w:val="24"/>
          <w:szCs w:val="24"/>
        </w:rPr>
        <w:t>, tourist product enhancement and marketing, capacity building for cooperatives societies</w:t>
      </w:r>
      <w:r w:rsidR="002A2174">
        <w:rPr>
          <w:rFonts w:ascii="Times New Roman" w:eastAsiaTheme="minorHAnsi" w:hAnsi="Times New Roman" w:cs="Times New Roman"/>
          <w:sz w:val="24"/>
          <w:szCs w:val="24"/>
        </w:rPr>
        <w:t xml:space="preserve"> and promotion of cooperatives.</w:t>
      </w:r>
    </w:p>
    <w:p w14:paraId="0973E15C" w14:textId="6D899809" w:rsidR="009D1572" w:rsidRPr="00C26BA4" w:rsidRDefault="009D1572" w:rsidP="009D1572">
      <w:pPr>
        <w:spacing w:after="0" w:line="360" w:lineRule="auto"/>
        <w:contextualSpacing/>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 xml:space="preserve"> Their </w:t>
      </w:r>
      <w:r w:rsidR="002A2174" w:rsidRPr="00C26BA4">
        <w:rPr>
          <w:rFonts w:ascii="Times New Roman" w:eastAsiaTheme="minorHAnsi" w:hAnsi="Times New Roman" w:cs="Times New Roman"/>
          <w:sz w:val="24"/>
          <w:szCs w:val="24"/>
        </w:rPr>
        <w:t>operationalization is expected to result in job creation within the County, enhanced revenue collection and contributes</w:t>
      </w:r>
      <w:r w:rsidRPr="00C26BA4">
        <w:rPr>
          <w:rFonts w:ascii="Times New Roman" w:eastAsiaTheme="minorHAnsi" w:hAnsi="Times New Roman" w:cs="Times New Roman"/>
          <w:sz w:val="24"/>
          <w:szCs w:val="24"/>
        </w:rPr>
        <w:t xml:space="preserve"> to regulated trade within the County. Th</w:t>
      </w:r>
      <w:r w:rsidR="001A4E59">
        <w:rPr>
          <w:rFonts w:ascii="Times New Roman" w:eastAsiaTheme="minorHAnsi" w:hAnsi="Times New Roman" w:cs="Times New Roman"/>
          <w:sz w:val="24"/>
          <w:szCs w:val="24"/>
        </w:rPr>
        <w:t xml:space="preserve">e county plans to </w:t>
      </w:r>
      <w:r w:rsidR="002A2174">
        <w:rPr>
          <w:rFonts w:ascii="Times New Roman" w:eastAsiaTheme="minorHAnsi" w:hAnsi="Times New Roman" w:cs="Times New Roman"/>
          <w:sz w:val="24"/>
          <w:szCs w:val="24"/>
        </w:rPr>
        <w:t>construct more markets during the financial 2019/20.</w:t>
      </w:r>
      <w:r w:rsidRPr="00C26BA4">
        <w:rPr>
          <w:rFonts w:ascii="Times New Roman" w:eastAsiaTheme="minorHAnsi" w:hAnsi="Times New Roman" w:cs="Times New Roman"/>
          <w:sz w:val="24"/>
          <w:szCs w:val="24"/>
        </w:rPr>
        <w:t xml:space="preserve"> </w:t>
      </w:r>
    </w:p>
    <w:p w14:paraId="3B8B3000" w14:textId="77777777" w:rsidR="009D1572" w:rsidRPr="00C26BA4" w:rsidRDefault="009D1572" w:rsidP="009D1572">
      <w:pPr>
        <w:spacing w:after="0" w:line="360" w:lineRule="auto"/>
        <w:contextualSpacing/>
        <w:jc w:val="both"/>
        <w:rPr>
          <w:rFonts w:ascii="Times New Roman" w:eastAsia="Calibri" w:hAnsi="Times New Roman" w:cs="Times New Roman"/>
          <w:sz w:val="24"/>
          <w:szCs w:val="24"/>
        </w:rPr>
      </w:pPr>
    </w:p>
    <w:p w14:paraId="65BD506E" w14:textId="4BEF51B2" w:rsidR="009D1572" w:rsidRPr="008F43B5" w:rsidRDefault="008F43B5" w:rsidP="008F43B5">
      <w:pPr>
        <w:pStyle w:val="Heading3"/>
        <w:rPr>
          <w:rFonts w:ascii="Times New Roman" w:eastAsiaTheme="minorHAnsi" w:hAnsi="Times New Roman" w:cs="Times New Roman"/>
          <w:color w:val="auto"/>
          <w:sz w:val="24"/>
          <w:szCs w:val="24"/>
        </w:rPr>
      </w:pPr>
      <w:bookmarkStart w:id="66" w:name="_Toc23266835"/>
      <w:r>
        <w:rPr>
          <w:rFonts w:ascii="Times New Roman" w:eastAsiaTheme="minorHAnsi" w:hAnsi="Times New Roman" w:cs="Times New Roman"/>
          <w:color w:val="auto"/>
          <w:sz w:val="24"/>
          <w:szCs w:val="24"/>
        </w:rPr>
        <w:lastRenderedPageBreak/>
        <w:t xml:space="preserve">3.2.4 </w:t>
      </w:r>
      <w:r w:rsidR="009D1572" w:rsidRPr="008F43B5">
        <w:rPr>
          <w:rFonts w:ascii="Times New Roman" w:eastAsiaTheme="minorHAnsi" w:hAnsi="Times New Roman" w:cs="Times New Roman"/>
          <w:color w:val="auto"/>
          <w:sz w:val="24"/>
          <w:szCs w:val="24"/>
        </w:rPr>
        <w:t>Health Sector</w:t>
      </w:r>
      <w:bookmarkEnd w:id="66"/>
    </w:p>
    <w:p w14:paraId="2AC38366" w14:textId="03A46A09" w:rsidR="009D1572" w:rsidRPr="00C26BA4" w:rsidRDefault="009D1572" w:rsidP="001A4E59">
      <w:pPr>
        <w:spacing w:after="0" w:line="360" w:lineRule="auto"/>
        <w:contextualSpacing/>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In the years FY 2018/2019 the FIF was KES 187,786,303 and is</w:t>
      </w:r>
      <w:r w:rsidR="00501E93">
        <w:rPr>
          <w:rFonts w:ascii="Times New Roman" w:eastAsiaTheme="minorHAnsi" w:hAnsi="Times New Roman" w:cs="Times New Roman"/>
          <w:sz w:val="24"/>
          <w:szCs w:val="24"/>
        </w:rPr>
        <w:t xml:space="preserve"> expected to increase to KES 200,0</w:t>
      </w:r>
      <w:r w:rsidRPr="00C26BA4">
        <w:rPr>
          <w:rFonts w:ascii="Times New Roman" w:eastAsiaTheme="minorHAnsi" w:hAnsi="Times New Roman" w:cs="Times New Roman"/>
          <w:sz w:val="24"/>
          <w:szCs w:val="24"/>
        </w:rPr>
        <w:t>00,000 in 2019/2020 due to increased access to specialized care, refurbishment, operationalization and treatment to patients t</w:t>
      </w:r>
      <w:r w:rsidR="001A4E59">
        <w:rPr>
          <w:rFonts w:ascii="Times New Roman" w:eastAsiaTheme="minorHAnsi" w:hAnsi="Times New Roman" w:cs="Times New Roman"/>
          <w:sz w:val="24"/>
          <w:szCs w:val="24"/>
        </w:rPr>
        <w:t xml:space="preserve">hrough: 68 new dispensaries </w:t>
      </w:r>
      <w:r w:rsidRPr="00C26BA4">
        <w:rPr>
          <w:rFonts w:ascii="Times New Roman" w:eastAsiaTheme="minorHAnsi" w:hAnsi="Times New Roman" w:cs="Times New Roman"/>
          <w:sz w:val="24"/>
          <w:szCs w:val="24"/>
        </w:rPr>
        <w:t xml:space="preserve">: 3 theaters (Timau, Mikumbune and Muthara): 25 health facilities(20 completed and 5 ongoing):13 new maternity wings: The 232 cataract patients surgeries: Automation of health services to improve data capture and storage: Over 7,625 patients reached through generation plus program </w:t>
      </w:r>
    </w:p>
    <w:p w14:paraId="2994A810" w14:textId="77777777" w:rsidR="009D1572" w:rsidRPr="00C26BA4" w:rsidRDefault="009D1572" w:rsidP="001A4E59">
      <w:pPr>
        <w:spacing w:line="360" w:lineRule="auto"/>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As the National government implements the ‘BIG four’ ,providing Universal Health Coverage and Guaranteeing Quality and Affordable Healthcare to all Kenyans - the county will be implementing identified interventions with the objective of expanding Universal Health Coverage and further raising the welfare of the county population and income.</w:t>
      </w:r>
    </w:p>
    <w:p w14:paraId="470036A5" w14:textId="3C625873" w:rsidR="009D1572" w:rsidRPr="008F43B5" w:rsidRDefault="008F43B5" w:rsidP="008F43B5">
      <w:pPr>
        <w:pStyle w:val="Heading3"/>
        <w:rPr>
          <w:rFonts w:ascii="Times New Roman" w:eastAsiaTheme="minorHAnsi" w:hAnsi="Times New Roman" w:cs="Times New Roman"/>
          <w:color w:val="auto"/>
        </w:rPr>
      </w:pPr>
      <w:bookmarkStart w:id="67" w:name="_Toc23266836"/>
      <w:r>
        <w:rPr>
          <w:rFonts w:ascii="Times New Roman" w:eastAsiaTheme="minorHAnsi" w:hAnsi="Times New Roman" w:cs="Times New Roman"/>
          <w:color w:val="auto"/>
        </w:rPr>
        <w:t xml:space="preserve">3.2.5 </w:t>
      </w:r>
      <w:r w:rsidR="009D1572" w:rsidRPr="008F43B5">
        <w:rPr>
          <w:rFonts w:ascii="Times New Roman" w:eastAsiaTheme="minorHAnsi" w:hAnsi="Times New Roman" w:cs="Times New Roman"/>
          <w:color w:val="auto"/>
        </w:rPr>
        <w:t>Social Protection, Culture and Recreation Sector</w:t>
      </w:r>
      <w:bookmarkEnd w:id="67"/>
    </w:p>
    <w:p w14:paraId="6E3D20B2" w14:textId="36FFD75D" w:rsidR="009D1572" w:rsidRPr="00501E93" w:rsidRDefault="009D1572" w:rsidP="009D1572">
      <w:pPr>
        <w:spacing w:after="0" w:line="312" w:lineRule="auto"/>
        <w:contextualSpacing/>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 xml:space="preserve">The county has increased the VTC </w:t>
      </w:r>
      <w:r w:rsidR="00FC652E" w:rsidRPr="00C26BA4">
        <w:rPr>
          <w:rFonts w:ascii="Times New Roman" w:eastAsiaTheme="minorHAnsi" w:hAnsi="Times New Roman" w:cs="Times New Roman"/>
          <w:sz w:val="24"/>
          <w:szCs w:val="24"/>
        </w:rPr>
        <w:t>wor</w:t>
      </w:r>
      <w:r w:rsidR="00FC652E">
        <w:rPr>
          <w:rFonts w:ascii="Times New Roman" w:eastAsiaTheme="minorHAnsi" w:hAnsi="Times New Roman" w:cs="Times New Roman"/>
          <w:sz w:val="24"/>
          <w:szCs w:val="24"/>
        </w:rPr>
        <w:t>ksho</w:t>
      </w:r>
      <w:r w:rsidR="00FC652E" w:rsidRPr="00C26BA4">
        <w:rPr>
          <w:rFonts w:ascii="Times New Roman" w:eastAsiaTheme="minorHAnsi" w:hAnsi="Times New Roman" w:cs="Times New Roman"/>
          <w:sz w:val="24"/>
          <w:szCs w:val="24"/>
        </w:rPr>
        <w:t>ps</w:t>
      </w:r>
      <w:r w:rsidR="00243E94">
        <w:rPr>
          <w:rFonts w:ascii="Times New Roman" w:eastAsiaTheme="minorHAnsi" w:hAnsi="Times New Roman" w:cs="Times New Roman"/>
          <w:sz w:val="24"/>
          <w:szCs w:val="24"/>
        </w:rPr>
        <w:t xml:space="preserve"> by </w:t>
      </w:r>
      <w:r w:rsidRPr="00C26BA4">
        <w:rPr>
          <w:rFonts w:ascii="Times New Roman" w:eastAsiaTheme="minorHAnsi" w:hAnsi="Times New Roman" w:cs="Times New Roman"/>
          <w:sz w:val="24"/>
          <w:szCs w:val="24"/>
        </w:rPr>
        <w:t>7 no. in the 2018/2019 FY all aimed at improving learnin</w:t>
      </w:r>
      <w:r w:rsidR="00243E94">
        <w:rPr>
          <w:rFonts w:ascii="Times New Roman" w:eastAsiaTheme="minorHAnsi" w:hAnsi="Times New Roman" w:cs="Times New Roman"/>
          <w:sz w:val="24"/>
          <w:szCs w:val="24"/>
        </w:rPr>
        <w:t xml:space="preserve">g and training environment for </w:t>
      </w:r>
      <w:r w:rsidRPr="00C26BA4">
        <w:rPr>
          <w:rFonts w:ascii="Times New Roman" w:eastAsiaTheme="minorHAnsi" w:hAnsi="Times New Roman" w:cs="Times New Roman"/>
          <w:sz w:val="24"/>
          <w:szCs w:val="24"/>
        </w:rPr>
        <w:t>trainees</w:t>
      </w:r>
      <w:r w:rsidR="00243E94">
        <w:rPr>
          <w:rFonts w:ascii="Times New Roman" w:eastAsiaTheme="minorHAnsi" w:hAnsi="Times New Roman" w:cs="Times New Roman"/>
          <w:sz w:val="24"/>
          <w:szCs w:val="24"/>
        </w:rPr>
        <w:t xml:space="preserve"> with the</w:t>
      </w:r>
      <w:r w:rsidRPr="00C26BA4">
        <w:rPr>
          <w:rFonts w:ascii="Times New Roman" w:eastAsiaTheme="minorHAnsi" w:hAnsi="Times New Roman" w:cs="Times New Roman"/>
          <w:sz w:val="24"/>
          <w:szCs w:val="24"/>
        </w:rPr>
        <w:t xml:space="preserve"> conditional grant disbursed going  a long way in enhancing  innovation, creativity and nurturing youth talents. This is in line with the “BIG FOUR” that aim to Develop TVET </w:t>
      </w:r>
      <w:r w:rsidRPr="00501E93">
        <w:rPr>
          <w:rFonts w:ascii="Times New Roman" w:eastAsiaTheme="minorHAnsi" w:hAnsi="Times New Roman" w:cs="Times New Roman"/>
          <w:sz w:val="24"/>
          <w:szCs w:val="24"/>
        </w:rPr>
        <w:t xml:space="preserve">infrastructure and equipment; Increase access to education and training for learners with Special Need and Disability and </w:t>
      </w:r>
      <w:r w:rsidR="00FC652E" w:rsidRPr="00501E93">
        <w:rPr>
          <w:rFonts w:ascii="Times New Roman" w:eastAsiaTheme="minorHAnsi" w:hAnsi="Times New Roman" w:cs="Times New Roman"/>
          <w:sz w:val="24"/>
          <w:szCs w:val="24"/>
        </w:rPr>
        <w:t>lastly, upgrade</w:t>
      </w:r>
      <w:r w:rsidRPr="00501E93">
        <w:rPr>
          <w:rFonts w:ascii="Times New Roman" w:eastAsiaTheme="minorHAnsi" w:hAnsi="Times New Roman" w:cs="Times New Roman"/>
          <w:sz w:val="24"/>
          <w:szCs w:val="24"/>
        </w:rPr>
        <w:t xml:space="preserve"> and expand existing industrial training </w:t>
      </w:r>
      <w:r w:rsidR="007F0CEF" w:rsidRPr="00501E93">
        <w:rPr>
          <w:rFonts w:ascii="Times New Roman" w:eastAsiaTheme="minorHAnsi" w:hAnsi="Times New Roman" w:cs="Times New Roman"/>
          <w:sz w:val="24"/>
          <w:szCs w:val="24"/>
        </w:rPr>
        <w:t>centers</w:t>
      </w:r>
      <w:r w:rsidRPr="00501E93">
        <w:rPr>
          <w:rFonts w:ascii="Times New Roman" w:eastAsiaTheme="minorHAnsi" w:hAnsi="Times New Roman" w:cs="Times New Roman"/>
          <w:sz w:val="24"/>
          <w:szCs w:val="24"/>
        </w:rPr>
        <w:t>.</w:t>
      </w:r>
    </w:p>
    <w:p w14:paraId="4CC72165" w14:textId="77777777" w:rsidR="009565F3" w:rsidRDefault="009565F3" w:rsidP="009D1572">
      <w:pPr>
        <w:spacing w:after="0" w:line="312" w:lineRule="auto"/>
        <w:contextualSpacing/>
        <w:jc w:val="both"/>
        <w:rPr>
          <w:rFonts w:ascii="Times New Roman" w:eastAsiaTheme="minorHAnsi" w:hAnsi="Times New Roman" w:cs="Times New Roman"/>
          <w:sz w:val="24"/>
          <w:szCs w:val="24"/>
        </w:rPr>
      </w:pPr>
    </w:p>
    <w:p w14:paraId="17C4E9CF" w14:textId="77777777" w:rsidR="007F0CEF" w:rsidRDefault="009D1572" w:rsidP="007F0CEF">
      <w:pPr>
        <w:spacing w:after="0" w:line="312" w:lineRule="auto"/>
        <w:contextualSpacing/>
        <w:jc w:val="both"/>
        <w:rPr>
          <w:rFonts w:ascii="Times New Roman" w:eastAsiaTheme="minorHAnsi" w:hAnsi="Times New Roman" w:cs="Times New Roman"/>
          <w:sz w:val="24"/>
          <w:szCs w:val="24"/>
        </w:rPr>
      </w:pPr>
      <w:r w:rsidRPr="00501E93">
        <w:rPr>
          <w:rFonts w:ascii="Times New Roman" w:eastAsiaTheme="minorHAnsi" w:hAnsi="Times New Roman" w:cs="Times New Roman"/>
          <w:sz w:val="24"/>
          <w:szCs w:val="24"/>
        </w:rPr>
        <w:t xml:space="preserve">Toward universal </w:t>
      </w:r>
      <w:r w:rsidR="009565F3">
        <w:rPr>
          <w:rFonts w:ascii="Times New Roman" w:eastAsiaTheme="minorHAnsi" w:hAnsi="Times New Roman" w:cs="Times New Roman"/>
          <w:sz w:val="24"/>
          <w:szCs w:val="24"/>
        </w:rPr>
        <w:t>education the county initiated construction of 118 new ECDE classroom and also financed additional infrastructure in 24 polytechnics</w:t>
      </w:r>
      <w:r w:rsidRPr="00501E93">
        <w:rPr>
          <w:rFonts w:ascii="Times New Roman" w:eastAsiaTheme="minorHAnsi" w:hAnsi="Times New Roman" w:cs="Times New Roman"/>
          <w:sz w:val="24"/>
          <w:szCs w:val="24"/>
        </w:rPr>
        <w:t xml:space="preserve">. The county aims at increasing the enrollment by </w:t>
      </w:r>
      <w:r w:rsidR="009565F3">
        <w:rPr>
          <w:rFonts w:ascii="Times New Roman" w:eastAsiaTheme="minorHAnsi" w:hAnsi="Times New Roman" w:cs="Times New Roman"/>
          <w:sz w:val="24"/>
          <w:szCs w:val="24"/>
        </w:rPr>
        <w:t>up sca</w:t>
      </w:r>
      <w:r w:rsidR="00FC652E" w:rsidRPr="00501E93">
        <w:rPr>
          <w:rFonts w:ascii="Times New Roman" w:eastAsiaTheme="minorHAnsi" w:hAnsi="Times New Roman" w:cs="Times New Roman"/>
          <w:sz w:val="24"/>
          <w:szCs w:val="24"/>
        </w:rPr>
        <w:t>ling</w:t>
      </w:r>
      <w:r w:rsidRPr="00501E93">
        <w:rPr>
          <w:rFonts w:ascii="Times New Roman" w:eastAsiaTheme="minorHAnsi" w:hAnsi="Times New Roman" w:cs="Times New Roman"/>
          <w:sz w:val="24"/>
          <w:szCs w:val="24"/>
        </w:rPr>
        <w:t xml:space="preserve"> the milk programme</w:t>
      </w:r>
      <w:r w:rsidR="007F0CEF">
        <w:rPr>
          <w:rFonts w:ascii="Times New Roman" w:eastAsiaTheme="minorHAnsi" w:hAnsi="Times New Roman" w:cs="Times New Roman"/>
          <w:sz w:val="24"/>
          <w:szCs w:val="24"/>
        </w:rPr>
        <w:t xml:space="preserve"> by increasing budgetary allocation in the subsequent years.</w:t>
      </w:r>
    </w:p>
    <w:p w14:paraId="6722FBD5" w14:textId="78B1526A" w:rsidR="009D1572" w:rsidRPr="00501E93" w:rsidRDefault="009D1572" w:rsidP="007F0CEF">
      <w:pPr>
        <w:spacing w:after="0" w:line="312" w:lineRule="auto"/>
        <w:contextualSpacing/>
        <w:jc w:val="both"/>
        <w:rPr>
          <w:rFonts w:ascii="Times New Roman" w:eastAsiaTheme="minorHAnsi" w:hAnsi="Times New Roman" w:cs="Times New Roman"/>
          <w:sz w:val="24"/>
          <w:szCs w:val="24"/>
        </w:rPr>
      </w:pPr>
      <w:r w:rsidRPr="00501E93">
        <w:rPr>
          <w:rFonts w:ascii="Times New Roman" w:eastAsiaTheme="minorHAnsi" w:hAnsi="Times New Roman" w:cs="Times New Roman"/>
          <w:sz w:val="24"/>
          <w:szCs w:val="24"/>
        </w:rPr>
        <w:t>Meru Youth Service</w:t>
      </w:r>
      <w:r w:rsidR="00501E93" w:rsidRPr="00501E93">
        <w:rPr>
          <w:rFonts w:ascii="Times New Roman" w:eastAsiaTheme="minorHAnsi" w:hAnsi="Times New Roman" w:cs="Times New Roman"/>
          <w:sz w:val="24"/>
          <w:szCs w:val="24"/>
        </w:rPr>
        <w:t xml:space="preserve"> w</w:t>
      </w:r>
      <w:r w:rsidRPr="00501E93">
        <w:rPr>
          <w:rFonts w:ascii="Times New Roman" w:eastAsiaTheme="minorHAnsi" w:hAnsi="Times New Roman" w:cs="Times New Roman"/>
          <w:sz w:val="24"/>
          <w:szCs w:val="24"/>
        </w:rPr>
        <w:t>ill continue to uplift the youths</w:t>
      </w:r>
      <w:r w:rsidR="00501E93" w:rsidRPr="00501E93">
        <w:rPr>
          <w:rFonts w:ascii="Times New Roman" w:eastAsiaTheme="minorHAnsi" w:hAnsi="Times New Roman" w:cs="Times New Roman"/>
          <w:sz w:val="24"/>
          <w:szCs w:val="24"/>
        </w:rPr>
        <w:t xml:space="preserve"> through technical training whose</w:t>
      </w:r>
      <w:r w:rsidRPr="00501E93">
        <w:rPr>
          <w:rFonts w:ascii="Times New Roman" w:eastAsiaTheme="minorHAnsi" w:hAnsi="Times New Roman" w:cs="Times New Roman"/>
          <w:sz w:val="24"/>
          <w:szCs w:val="24"/>
        </w:rPr>
        <w:t xml:space="preserve"> contribution to the economy</w:t>
      </w:r>
      <w:r w:rsidR="007F0CEF">
        <w:rPr>
          <w:rFonts w:ascii="Times New Roman" w:eastAsiaTheme="minorHAnsi" w:hAnsi="Times New Roman" w:cs="Times New Roman"/>
          <w:sz w:val="24"/>
          <w:szCs w:val="24"/>
        </w:rPr>
        <w:t xml:space="preserve"> as uplifting their livelihoods.</w:t>
      </w:r>
    </w:p>
    <w:p w14:paraId="44240647" w14:textId="02122E60" w:rsidR="009D1572" w:rsidRPr="00501E93" w:rsidRDefault="008F43B5" w:rsidP="008F43B5">
      <w:pPr>
        <w:pStyle w:val="Heading3"/>
        <w:rPr>
          <w:rFonts w:ascii="Times New Roman" w:eastAsiaTheme="minorHAnsi" w:hAnsi="Times New Roman" w:cs="Times New Roman"/>
          <w:color w:val="auto"/>
          <w:sz w:val="24"/>
          <w:szCs w:val="24"/>
        </w:rPr>
      </w:pPr>
      <w:bookmarkStart w:id="68" w:name="_Toc23266837"/>
      <w:r w:rsidRPr="00501E93">
        <w:rPr>
          <w:rFonts w:ascii="Times New Roman" w:eastAsiaTheme="minorHAnsi" w:hAnsi="Times New Roman" w:cs="Times New Roman"/>
          <w:color w:val="auto"/>
          <w:sz w:val="24"/>
          <w:szCs w:val="24"/>
        </w:rPr>
        <w:t xml:space="preserve">3.2.6 </w:t>
      </w:r>
      <w:r w:rsidR="009D1572" w:rsidRPr="00501E93">
        <w:rPr>
          <w:rFonts w:ascii="Times New Roman" w:eastAsiaTheme="minorHAnsi" w:hAnsi="Times New Roman" w:cs="Times New Roman"/>
          <w:color w:val="auto"/>
          <w:sz w:val="24"/>
          <w:szCs w:val="24"/>
        </w:rPr>
        <w:t>Environmental Protection and Water Sector</w:t>
      </w:r>
      <w:bookmarkEnd w:id="68"/>
    </w:p>
    <w:p w14:paraId="7F6E547D" w14:textId="27E9D515" w:rsidR="009D1572" w:rsidRDefault="009D1572" w:rsidP="008F43B5">
      <w:pPr>
        <w:spacing w:after="0" w:line="312" w:lineRule="auto"/>
        <w:contextualSpacing/>
        <w:jc w:val="both"/>
        <w:rPr>
          <w:rFonts w:ascii="Times New Roman" w:eastAsiaTheme="minorHAnsi" w:hAnsi="Times New Roman" w:cs="Times New Roman"/>
          <w:sz w:val="24"/>
          <w:szCs w:val="24"/>
        </w:rPr>
      </w:pPr>
      <w:r w:rsidRPr="00C26BA4">
        <w:rPr>
          <w:rFonts w:ascii="Times New Roman" w:eastAsia="Calibri" w:hAnsi="Times New Roman" w:cs="Times New Roman"/>
          <w:sz w:val="24"/>
          <w:szCs w:val="24"/>
        </w:rPr>
        <w:t>I</w:t>
      </w:r>
      <w:r w:rsidRPr="00C26BA4">
        <w:rPr>
          <w:rFonts w:ascii="Times New Roman" w:eastAsiaTheme="minorHAnsi" w:hAnsi="Times New Roman" w:cs="Times New Roman"/>
          <w:sz w:val="24"/>
          <w:szCs w:val="24"/>
        </w:rPr>
        <w:t>n the 20</w:t>
      </w:r>
      <w:r w:rsidR="00FC652E">
        <w:rPr>
          <w:rFonts w:ascii="Times New Roman" w:eastAsiaTheme="minorHAnsi" w:hAnsi="Times New Roman" w:cs="Times New Roman"/>
          <w:sz w:val="24"/>
          <w:szCs w:val="24"/>
        </w:rPr>
        <w:t>18/2019 FY the county drilled 50</w:t>
      </w:r>
      <w:r w:rsidRPr="00C26BA4">
        <w:rPr>
          <w:rFonts w:ascii="Times New Roman" w:eastAsiaTheme="minorHAnsi" w:hAnsi="Times New Roman" w:cs="Times New Roman"/>
          <w:sz w:val="24"/>
          <w:szCs w:val="24"/>
        </w:rPr>
        <w:t xml:space="preserve"> Boreholes in ASAL regions of the county to serve 2,150 homesteads with clean portable water and a further 50</w:t>
      </w:r>
      <w:r w:rsidR="00FC652E">
        <w:rPr>
          <w:rFonts w:ascii="Times New Roman" w:eastAsiaTheme="minorHAnsi" w:hAnsi="Times New Roman" w:cs="Times New Roman"/>
          <w:sz w:val="24"/>
          <w:szCs w:val="24"/>
        </w:rPr>
        <w:t xml:space="preserve"> no </w:t>
      </w:r>
      <w:r w:rsidRPr="00C26BA4">
        <w:rPr>
          <w:rFonts w:ascii="Times New Roman" w:eastAsiaTheme="minorHAnsi" w:hAnsi="Times New Roman" w:cs="Times New Roman"/>
          <w:sz w:val="24"/>
          <w:szCs w:val="24"/>
        </w:rPr>
        <w:t xml:space="preserve">is planned for 2019/2020 to raise the number of homesteads with water to over 60% in the county that’s in line with the national </w:t>
      </w:r>
      <w:r w:rsidR="00785307">
        <w:rPr>
          <w:rFonts w:ascii="Times New Roman" w:eastAsiaTheme="minorHAnsi" w:hAnsi="Times New Roman" w:cs="Times New Roman"/>
          <w:sz w:val="24"/>
          <w:szCs w:val="24"/>
        </w:rPr>
        <w:t xml:space="preserve">target </w:t>
      </w:r>
      <w:r w:rsidRPr="00C26BA4">
        <w:rPr>
          <w:rFonts w:ascii="Times New Roman" w:eastAsiaTheme="minorHAnsi" w:hAnsi="Times New Roman" w:cs="Times New Roman"/>
          <w:sz w:val="24"/>
          <w:szCs w:val="24"/>
        </w:rPr>
        <w:t>of 80% HH with water by 2022. O</w:t>
      </w:r>
      <w:r w:rsidR="00785307">
        <w:rPr>
          <w:rFonts w:ascii="Times New Roman" w:eastAsiaTheme="minorHAnsi" w:hAnsi="Times New Roman" w:cs="Times New Roman"/>
          <w:sz w:val="24"/>
          <w:szCs w:val="24"/>
        </w:rPr>
        <w:t xml:space="preserve">ther interventions include, </w:t>
      </w:r>
      <w:r w:rsidRPr="00C26BA4">
        <w:rPr>
          <w:rFonts w:ascii="Times New Roman" w:eastAsiaTheme="minorHAnsi" w:hAnsi="Times New Roman" w:cs="Times New Roman"/>
          <w:sz w:val="24"/>
          <w:szCs w:val="24"/>
        </w:rPr>
        <w:t xml:space="preserve">water pans constructed in conjunction with the national government to provide water for irrigation: </w:t>
      </w:r>
      <w:r w:rsidR="00785307">
        <w:rPr>
          <w:rFonts w:ascii="Times New Roman" w:eastAsiaTheme="minorHAnsi" w:hAnsi="Times New Roman" w:cs="Times New Roman"/>
          <w:sz w:val="24"/>
          <w:szCs w:val="24"/>
        </w:rPr>
        <w:t xml:space="preserve"> improving of connectivity </w:t>
      </w:r>
      <w:r w:rsidR="0057637D">
        <w:rPr>
          <w:rFonts w:ascii="Times New Roman" w:eastAsiaTheme="minorHAnsi" w:hAnsi="Times New Roman" w:cs="Times New Roman"/>
          <w:sz w:val="24"/>
          <w:szCs w:val="24"/>
        </w:rPr>
        <w:t>through ward allocations,</w:t>
      </w:r>
      <w:r w:rsidR="00FC652E">
        <w:rPr>
          <w:rFonts w:ascii="Times New Roman" w:eastAsiaTheme="minorHAnsi" w:hAnsi="Times New Roman" w:cs="Times New Roman"/>
          <w:sz w:val="24"/>
          <w:szCs w:val="24"/>
        </w:rPr>
        <w:t xml:space="preserve"> </w:t>
      </w:r>
      <w:r w:rsidRPr="00C26BA4">
        <w:rPr>
          <w:rFonts w:ascii="Times New Roman" w:eastAsiaTheme="minorHAnsi" w:hAnsi="Times New Roman" w:cs="Times New Roman"/>
          <w:sz w:val="24"/>
          <w:szCs w:val="24"/>
        </w:rPr>
        <w:t>15 Mega gravity water projects supported though water flagship projects benefitting thousands of people and all this is focused to improve on</w:t>
      </w:r>
      <w:r w:rsidR="008F43B5">
        <w:rPr>
          <w:rFonts w:ascii="Times New Roman" w:eastAsiaTheme="minorHAnsi" w:hAnsi="Times New Roman" w:cs="Times New Roman"/>
          <w:sz w:val="24"/>
          <w:szCs w:val="24"/>
        </w:rPr>
        <w:t xml:space="preserve"> the livelihoods of the people.</w:t>
      </w:r>
    </w:p>
    <w:p w14:paraId="50A047F7" w14:textId="40CA7D0E" w:rsidR="0057637D" w:rsidRPr="008F43B5" w:rsidRDefault="0057637D" w:rsidP="008F43B5">
      <w:pPr>
        <w:spacing w:after="0" w:line="312" w:lineRule="auto"/>
        <w:contextualSpacing/>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In addition department of environment engaged on increasing forestry cover, efficient management of garbage collection in urban centers as well as maintaining the dumpsites.</w:t>
      </w:r>
    </w:p>
    <w:p w14:paraId="46AC418F" w14:textId="332C59C1" w:rsidR="009D1572" w:rsidRPr="008F43B5" w:rsidRDefault="008F43B5" w:rsidP="008F43B5">
      <w:pPr>
        <w:pStyle w:val="Heading3"/>
        <w:rPr>
          <w:rFonts w:ascii="Times New Roman" w:eastAsiaTheme="minorHAnsi" w:hAnsi="Times New Roman" w:cs="Times New Roman"/>
          <w:color w:val="auto"/>
        </w:rPr>
      </w:pPr>
      <w:bookmarkStart w:id="69" w:name="_Toc23266838"/>
      <w:r w:rsidRPr="008F43B5">
        <w:rPr>
          <w:rFonts w:ascii="Times New Roman" w:eastAsiaTheme="minorHAnsi" w:hAnsi="Times New Roman" w:cs="Times New Roman"/>
          <w:color w:val="auto"/>
        </w:rPr>
        <w:lastRenderedPageBreak/>
        <w:t>3.2.7</w:t>
      </w:r>
      <w:r w:rsidR="009D1572" w:rsidRPr="008F43B5">
        <w:rPr>
          <w:rFonts w:ascii="Times New Roman" w:eastAsiaTheme="minorHAnsi" w:hAnsi="Times New Roman" w:cs="Times New Roman"/>
          <w:color w:val="auto"/>
        </w:rPr>
        <w:t xml:space="preserve"> Public Administration and Intergovernmental Affairs</w:t>
      </w:r>
      <w:r w:rsidR="0057637D">
        <w:rPr>
          <w:rFonts w:ascii="Times New Roman" w:eastAsiaTheme="minorHAnsi" w:hAnsi="Times New Roman" w:cs="Times New Roman"/>
          <w:color w:val="auto"/>
        </w:rPr>
        <w:t xml:space="preserve"> sector</w:t>
      </w:r>
      <w:bookmarkEnd w:id="69"/>
    </w:p>
    <w:p w14:paraId="3856092C" w14:textId="76AF327E" w:rsidR="009D1572" w:rsidRPr="00501E93" w:rsidRDefault="009D1572" w:rsidP="00501E93">
      <w:pPr>
        <w:jc w:val="both"/>
        <w:rPr>
          <w:rFonts w:ascii="Times New Roman" w:eastAsia="Times New Roman" w:hAnsi="Times New Roman" w:cs="Times New Roman"/>
          <w:b/>
          <w:bCs/>
          <w:color w:val="000000"/>
        </w:rPr>
      </w:pPr>
      <w:r w:rsidRPr="00501E93">
        <w:rPr>
          <w:rFonts w:ascii="Times New Roman" w:eastAsiaTheme="minorHAnsi" w:hAnsi="Times New Roman" w:cs="Times New Roman"/>
          <w:sz w:val="24"/>
          <w:szCs w:val="24"/>
        </w:rPr>
        <w:t xml:space="preserve">By automating revenue collection, the Meru County Revenue Board has improved annual local revenue collected from </w:t>
      </w:r>
      <w:r w:rsidR="00914039" w:rsidRPr="00501E93">
        <w:rPr>
          <w:rFonts w:ascii="Times New Roman" w:eastAsiaTheme="minorHAnsi" w:hAnsi="Times New Roman" w:cs="Times New Roman"/>
          <w:sz w:val="24"/>
          <w:szCs w:val="24"/>
        </w:rPr>
        <w:t>Kshs</w:t>
      </w:r>
      <w:r w:rsidRPr="00501E93">
        <w:rPr>
          <w:rFonts w:ascii="Times New Roman" w:eastAsiaTheme="minorHAnsi" w:hAnsi="Times New Roman" w:cs="Times New Roman"/>
          <w:sz w:val="24"/>
          <w:szCs w:val="24"/>
        </w:rPr>
        <w:t xml:space="preserve">. 336,547,020 in FY2017/18 to </w:t>
      </w:r>
      <w:r w:rsidR="00914039" w:rsidRPr="00501E93">
        <w:rPr>
          <w:rFonts w:ascii="Times New Roman" w:eastAsiaTheme="minorHAnsi" w:hAnsi="Times New Roman" w:cs="Times New Roman"/>
          <w:sz w:val="24"/>
          <w:szCs w:val="24"/>
        </w:rPr>
        <w:t>Kshs</w:t>
      </w:r>
      <w:r w:rsidRPr="00501E93">
        <w:rPr>
          <w:rFonts w:ascii="Times New Roman" w:eastAsiaTheme="minorHAnsi" w:hAnsi="Times New Roman" w:cs="Times New Roman"/>
          <w:sz w:val="24"/>
          <w:szCs w:val="24"/>
        </w:rPr>
        <w:t>.</w:t>
      </w:r>
      <w:r w:rsidR="00501E93" w:rsidRPr="00501E93">
        <w:rPr>
          <w:rFonts w:ascii="Times New Roman" w:hAnsi="Times New Roman" w:cs="Times New Roman"/>
          <w:b/>
          <w:bCs/>
          <w:color w:val="000000"/>
        </w:rPr>
        <w:t xml:space="preserve"> </w:t>
      </w:r>
      <w:r w:rsidR="00501E93" w:rsidRPr="00501E93">
        <w:rPr>
          <w:rFonts w:ascii="Times New Roman" w:eastAsia="Times New Roman" w:hAnsi="Times New Roman" w:cs="Times New Roman"/>
          <w:bCs/>
          <w:color w:val="000000"/>
        </w:rPr>
        <w:t>543,575,258.25</w:t>
      </w:r>
      <w:r w:rsidR="00501E93" w:rsidRPr="00501E93">
        <w:rPr>
          <w:rFonts w:ascii="Times New Roman" w:eastAsia="Times New Roman" w:hAnsi="Times New Roman" w:cs="Times New Roman"/>
          <w:b/>
          <w:bCs/>
          <w:color w:val="000000"/>
        </w:rPr>
        <w:t xml:space="preserve"> </w:t>
      </w:r>
      <w:r w:rsidRPr="00501E93">
        <w:rPr>
          <w:rFonts w:ascii="Times New Roman" w:eastAsiaTheme="minorHAnsi" w:hAnsi="Times New Roman" w:cs="Times New Roman"/>
          <w:sz w:val="24"/>
          <w:szCs w:val="24"/>
        </w:rPr>
        <w:t>in FY2018/19. The increase</w:t>
      </w:r>
      <w:r w:rsidR="00501E93">
        <w:rPr>
          <w:rFonts w:ascii="Times New Roman" w:eastAsiaTheme="minorHAnsi" w:hAnsi="Times New Roman" w:cs="Times New Roman"/>
          <w:sz w:val="24"/>
          <w:szCs w:val="24"/>
        </w:rPr>
        <w:t xml:space="preserve"> in revenue </w:t>
      </w:r>
      <w:r w:rsidRPr="00501E93">
        <w:rPr>
          <w:rFonts w:ascii="Times New Roman" w:eastAsiaTheme="minorHAnsi" w:hAnsi="Times New Roman" w:cs="Times New Roman"/>
          <w:sz w:val="24"/>
          <w:szCs w:val="24"/>
        </w:rPr>
        <w:t>enhanced the allocated fiscal resources to facilitate the completion of addition and likely to stall projects.</w:t>
      </w:r>
    </w:p>
    <w:p w14:paraId="57AAB0D4" w14:textId="24E89F24" w:rsidR="009D1572" w:rsidRPr="00C26BA4" w:rsidRDefault="009D1572" w:rsidP="009D1572">
      <w:pPr>
        <w:spacing w:after="0" w:line="312" w:lineRule="auto"/>
        <w:contextualSpacing/>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Further, Completion of construction works for the New Meru County Headquarters has not only solved the challenge of limited office space faced by various departments im</w:t>
      </w:r>
      <w:r w:rsidR="0057637D">
        <w:rPr>
          <w:rFonts w:ascii="Times New Roman" w:eastAsiaTheme="minorHAnsi" w:hAnsi="Times New Roman" w:cs="Times New Roman"/>
          <w:sz w:val="24"/>
          <w:szCs w:val="24"/>
        </w:rPr>
        <w:t>proving efficiency but will also save</w:t>
      </w:r>
      <w:r w:rsidRPr="00C26BA4">
        <w:rPr>
          <w:rFonts w:ascii="Times New Roman" w:eastAsiaTheme="minorHAnsi" w:hAnsi="Times New Roman" w:cs="Times New Roman"/>
          <w:sz w:val="24"/>
          <w:szCs w:val="24"/>
        </w:rPr>
        <w:t xml:space="preserve"> the County Government an annual rent expenditure amounting to </w:t>
      </w:r>
      <w:r w:rsidR="00914039">
        <w:rPr>
          <w:rFonts w:ascii="Times New Roman" w:eastAsiaTheme="minorHAnsi" w:hAnsi="Times New Roman" w:cs="Times New Roman"/>
          <w:sz w:val="24"/>
          <w:szCs w:val="24"/>
        </w:rPr>
        <w:t>Kshs</w:t>
      </w:r>
      <w:r w:rsidRPr="00C26BA4">
        <w:rPr>
          <w:rFonts w:ascii="Times New Roman" w:eastAsiaTheme="minorHAnsi" w:hAnsi="Times New Roman" w:cs="Times New Roman"/>
          <w:sz w:val="24"/>
          <w:szCs w:val="24"/>
        </w:rPr>
        <w:t>. 23, 503, 200 that will be channel to other projects in the county 2018/2022 development plan.</w:t>
      </w:r>
    </w:p>
    <w:p w14:paraId="4A4E98AC" w14:textId="77777777" w:rsidR="009D1572" w:rsidRPr="00C26BA4" w:rsidRDefault="009D1572" w:rsidP="009D1572">
      <w:pPr>
        <w:spacing w:after="0" w:line="312" w:lineRule="auto"/>
        <w:contextualSpacing/>
        <w:jc w:val="both"/>
        <w:rPr>
          <w:rFonts w:ascii="Times New Roman" w:eastAsiaTheme="minorHAnsi" w:hAnsi="Times New Roman" w:cs="Times New Roman"/>
          <w:sz w:val="24"/>
          <w:szCs w:val="24"/>
        </w:rPr>
      </w:pPr>
    </w:p>
    <w:p w14:paraId="4443C84A" w14:textId="77777777" w:rsidR="009D1572" w:rsidRPr="008F43B5" w:rsidRDefault="009D1572" w:rsidP="008F43B5">
      <w:pPr>
        <w:pStyle w:val="Heading2"/>
        <w:rPr>
          <w:rFonts w:ascii="Times New Roman" w:eastAsiaTheme="minorHAnsi" w:hAnsi="Times New Roman" w:cs="Times New Roman"/>
          <w:color w:val="auto"/>
          <w:sz w:val="24"/>
          <w:szCs w:val="24"/>
        </w:rPr>
      </w:pPr>
      <w:bookmarkStart w:id="70" w:name="_Toc23266839"/>
      <w:r w:rsidRPr="008F43B5">
        <w:rPr>
          <w:rFonts w:ascii="Times New Roman" w:eastAsiaTheme="minorHAnsi" w:hAnsi="Times New Roman" w:cs="Times New Roman"/>
          <w:color w:val="auto"/>
          <w:sz w:val="24"/>
          <w:szCs w:val="24"/>
        </w:rPr>
        <w:t>3.3</w:t>
      </w:r>
      <w:r w:rsidRPr="008F43B5">
        <w:rPr>
          <w:rFonts w:ascii="Times New Roman" w:eastAsiaTheme="minorHAnsi" w:hAnsi="Times New Roman" w:cs="Times New Roman"/>
          <w:color w:val="auto"/>
          <w:sz w:val="24"/>
          <w:szCs w:val="24"/>
        </w:rPr>
        <w:tab/>
        <w:t>Medium Term Expenditure Framework</w:t>
      </w:r>
      <w:bookmarkEnd w:id="70"/>
    </w:p>
    <w:p w14:paraId="7767957F" w14:textId="06F709A4" w:rsidR="009D1572" w:rsidRPr="00C26BA4" w:rsidRDefault="009D1572" w:rsidP="00FC652E">
      <w:pPr>
        <w:spacing w:line="360" w:lineRule="auto"/>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The county government will operate within a framework of balanced budget in the medium term with occasional short term borrowing as may be necessary for cash flow management purposes. The government’s fiscal policy objective in the medium term will be to focus resources to the county transformative projects that are in the ADP</w:t>
      </w:r>
      <w:r w:rsidR="00FC652E">
        <w:rPr>
          <w:rFonts w:ascii="Times New Roman" w:eastAsiaTheme="minorHAnsi" w:hAnsi="Times New Roman" w:cs="Times New Roman"/>
          <w:sz w:val="24"/>
          <w:szCs w:val="24"/>
        </w:rPr>
        <w:t xml:space="preserve"> </w:t>
      </w:r>
      <w:r w:rsidRPr="00C26BA4">
        <w:rPr>
          <w:rFonts w:ascii="Times New Roman" w:eastAsiaTheme="minorHAnsi" w:hAnsi="Times New Roman" w:cs="Times New Roman"/>
          <w:sz w:val="24"/>
          <w:szCs w:val="24"/>
        </w:rPr>
        <w:t>2019/2020 and focus on the CIDP 2018/2022</w:t>
      </w:r>
      <w:r w:rsidR="004072D6">
        <w:rPr>
          <w:rFonts w:ascii="Times New Roman" w:eastAsiaTheme="minorHAnsi" w:hAnsi="Times New Roman" w:cs="Times New Roman"/>
          <w:sz w:val="24"/>
          <w:szCs w:val="24"/>
        </w:rPr>
        <w:t xml:space="preserve"> and county vision 2040</w:t>
      </w:r>
      <w:r w:rsidRPr="00C26BA4">
        <w:rPr>
          <w:rFonts w:ascii="Times New Roman" w:eastAsiaTheme="minorHAnsi" w:hAnsi="Times New Roman" w:cs="Times New Roman"/>
          <w:sz w:val="24"/>
          <w:szCs w:val="24"/>
        </w:rPr>
        <w:t xml:space="preserve"> with the core projects geared towards the ‘BIG four’ agenda of Kenya and linked with the objectives of Third Medium-Term Plan (MTPIII</w:t>
      </w:r>
      <w:r w:rsidR="00214809" w:rsidRPr="00C26BA4">
        <w:rPr>
          <w:rFonts w:ascii="Times New Roman" w:eastAsiaTheme="minorHAnsi" w:hAnsi="Times New Roman" w:cs="Times New Roman"/>
          <w:sz w:val="24"/>
          <w:szCs w:val="24"/>
        </w:rPr>
        <w:t>) of</w:t>
      </w:r>
      <w:r w:rsidRPr="00C26BA4">
        <w:rPr>
          <w:rFonts w:ascii="Times New Roman" w:eastAsiaTheme="minorHAnsi" w:hAnsi="Times New Roman" w:cs="Times New Roman"/>
          <w:sz w:val="24"/>
          <w:szCs w:val="24"/>
        </w:rPr>
        <w:t xml:space="preserve"> Vision 2030 given the core priority. </w:t>
      </w:r>
    </w:p>
    <w:p w14:paraId="5BDF2870" w14:textId="77777777" w:rsidR="009D1572" w:rsidRPr="008956E9" w:rsidRDefault="009D1572" w:rsidP="008956E9">
      <w:pPr>
        <w:pStyle w:val="Heading3"/>
        <w:rPr>
          <w:rFonts w:ascii="Times New Roman" w:eastAsiaTheme="minorHAnsi" w:hAnsi="Times New Roman" w:cs="Times New Roman"/>
          <w:color w:val="auto"/>
        </w:rPr>
      </w:pPr>
      <w:bookmarkStart w:id="71" w:name="_Toc23266840"/>
      <w:r w:rsidRPr="008956E9">
        <w:rPr>
          <w:rFonts w:ascii="Times New Roman" w:eastAsiaTheme="minorHAnsi" w:hAnsi="Times New Roman" w:cs="Times New Roman"/>
          <w:color w:val="auto"/>
        </w:rPr>
        <w:t>3.3.1</w:t>
      </w:r>
      <w:r w:rsidRPr="008956E9">
        <w:rPr>
          <w:rFonts w:ascii="Times New Roman" w:eastAsiaTheme="minorHAnsi" w:hAnsi="Times New Roman" w:cs="Times New Roman"/>
          <w:color w:val="auto"/>
        </w:rPr>
        <w:tab/>
        <w:t>Revenue enhancement strategies</w:t>
      </w:r>
      <w:bookmarkEnd w:id="71"/>
    </w:p>
    <w:p w14:paraId="1B1F41E8" w14:textId="77777777" w:rsidR="009D1572" w:rsidRPr="00C26BA4" w:rsidRDefault="009D1572" w:rsidP="00FC652E">
      <w:pPr>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Revenue mobilization initiatives will be strengthened to enhance revenue performance. The county will implement the county flagship of the transformative projects in the CIDP 2018-2022 that are high impact in terms of employment creation, increasing county competitiveness and revenue generation among others.</w:t>
      </w:r>
    </w:p>
    <w:p w14:paraId="673CA9C1" w14:textId="52A32DA0" w:rsidR="009D1572" w:rsidRPr="00C26BA4" w:rsidRDefault="009D1572" w:rsidP="00FC652E">
      <w:pPr>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Meru Branding, Meru Special Economic Zones, Meru Industrial Parks, Satellite Markets, The</w:t>
      </w:r>
      <w:r w:rsidR="000C53F6">
        <w:rPr>
          <w:rFonts w:ascii="Times New Roman" w:eastAsiaTheme="minorHAnsi" w:hAnsi="Times New Roman" w:cs="Times New Roman"/>
          <w:sz w:val="24"/>
          <w:szCs w:val="24"/>
        </w:rPr>
        <w:t xml:space="preserve"> hike to Mt. Kenya tourism</w:t>
      </w:r>
      <w:r w:rsidRPr="00C26BA4">
        <w:rPr>
          <w:rFonts w:ascii="Times New Roman" w:eastAsiaTheme="minorHAnsi" w:hAnsi="Times New Roman" w:cs="Times New Roman"/>
          <w:sz w:val="24"/>
          <w:szCs w:val="24"/>
        </w:rPr>
        <w:t>, Tree Crops Development in macadamia and avocado, “Panga Kaunti” (County spatial plan), Land Adjudication/Registration-,Land banking, New urban agenda are all projects in the county that are geared towards improving services or products in the county and enhancing revenue.</w:t>
      </w:r>
    </w:p>
    <w:p w14:paraId="1D494781" w14:textId="77777777" w:rsidR="009D1572" w:rsidRPr="00C26BA4" w:rsidRDefault="009D1572" w:rsidP="00FC652E">
      <w:pPr>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County intends to have the Meru County Financial bill 2019 implemented that proposes -;</w:t>
      </w:r>
    </w:p>
    <w:p w14:paraId="1F48D30B" w14:textId="77777777" w:rsidR="009D1572" w:rsidRPr="00C26BA4" w:rsidRDefault="009D1572" w:rsidP="00FC652E">
      <w:pPr>
        <w:numPr>
          <w:ilvl w:val="0"/>
          <w:numId w:val="18"/>
        </w:numPr>
        <w:spacing w:after="0" w:line="24" w:lineRule="atLeast"/>
        <w:contextualSpacing/>
        <w:jc w:val="both"/>
        <w:rPr>
          <w:rFonts w:ascii="Times New Roman" w:eastAsia="Calibri" w:hAnsi="Times New Roman" w:cs="Times New Roman"/>
          <w:sz w:val="24"/>
          <w:szCs w:val="24"/>
        </w:rPr>
      </w:pPr>
      <w:r w:rsidRPr="00C26BA4">
        <w:rPr>
          <w:rFonts w:ascii="Times New Roman" w:eastAsia="Calibri" w:hAnsi="Times New Roman" w:cs="Times New Roman"/>
          <w:sz w:val="24"/>
          <w:szCs w:val="24"/>
        </w:rPr>
        <w:t>Enactment &amp; Enforcement of County laws on revenue</w:t>
      </w:r>
    </w:p>
    <w:p w14:paraId="47D502CB" w14:textId="77777777" w:rsidR="009D1572" w:rsidRPr="00C26BA4" w:rsidRDefault="009D1572" w:rsidP="00FC652E">
      <w:pPr>
        <w:numPr>
          <w:ilvl w:val="0"/>
          <w:numId w:val="18"/>
        </w:numPr>
        <w:spacing w:after="0" w:line="24" w:lineRule="atLeast"/>
        <w:contextualSpacing/>
        <w:jc w:val="both"/>
        <w:rPr>
          <w:rFonts w:ascii="Times New Roman" w:eastAsia="Calibri" w:hAnsi="Times New Roman" w:cs="Times New Roman"/>
          <w:sz w:val="24"/>
          <w:szCs w:val="24"/>
        </w:rPr>
      </w:pPr>
      <w:r w:rsidRPr="00C26BA4">
        <w:rPr>
          <w:rFonts w:ascii="Times New Roman" w:eastAsia="Calibri" w:hAnsi="Times New Roman" w:cs="Times New Roman"/>
          <w:sz w:val="24"/>
          <w:szCs w:val="24"/>
        </w:rPr>
        <w:t>Preparation of county valuation roll</w:t>
      </w:r>
    </w:p>
    <w:p w14:paraId="51D90F9E" w14:textId="77777777" w:rsidR="009D1572" w:rsidRPr="00C26BA4" w:rsidRDefault="009D1572" w:rsidP="00FC652E">
      <w:pPr>
        <w:numPr>
          <w:ilvl w:val="0"/>
          <w:numId w:val="18"/>
        </w:numPr>
        <w:spacing w:after="0" w:line="24" w:lineRule="atLeast"/>
        <w:contextualSpacing/>
        <w:jc w:val="both"/>
        <w:rPr>
          <w:rFonts w:ascii="Times New Roman" w:eastAsia="Calibri" w:hAnsi="Times New Roman" w:cs="Times New Roman"/>
          <w:sz w:val="24"/>
          <w:szCs w:val="24"/>
        </w:rPr>
      </w:pPr>
      <w:r w:rsidRPr="00C26BA4">
        <w:rPr>
          <w:rFonts w:ascii="Times New Roman" w:eastAsia="Calibri" w:hAnsi="Times New Roman" w:cs="Times New Roman"/>
          <w:sz w:val="24"/>
          <w:szCs w:val="24"/>
        </w:rPr>
        <w:t xml:space="preserve">Review of fees and charges. The county will make a comprehensive review of the existing rates with view to adjusting it to a reasonable but sustainable level. The county government in consultation with stakeholders will carry out a comprehensive review of existing rates. </w:t>
      </w:r>
    </w:p>
    <w:p w14:paraId="0F39137E" w14:textId="77777777" w:rsidR="009D1572" w:rsidRPr="00C26BA4" w:rsidRDefault="009D1572" w:rsidP="00FC652E">
      <w:pPr>
        <w:numPr>
          <w:ilvl w:val="0"/>
          <w:numId w:val="18"/>
        </w:numPr>
        <w:spacing w:after="0" w:line="24" w:lineRule="atLeast"/>
        <w:contextualSpacing/>
        <w:jc w:val="both"/>
        <w:rPr>
          <w:rFonts w:ascii="Times New Roman" w:eastAsia="Calibri" w:hAnsi="Times New Roman" w:cs="Times New Roman"/>
          <w:sz w:val="24"/>
          <w:szCs w:val="24"/>
        </w:rPr>
      </w:pPr>
      <w:r w:rsidRPr="00C26BA4">
        <w:rPr>
          <w:rFonts w:ascii="Times New Roman" w:eastAsia="Calibri" w:hAnsi="Times New Roman" w:cs="Times New Roman"/>
          <w:sz w:val="24"/>
          <w:szCs w:val="24"/>
        </w:rPr>
        <w:t>Improvement of revenue collection centres such as open air markets. Ensure optimal staffing in the centres, supervisions and enforcement.</w:t>
      </w:r>
    </w:p>
    <w:p w14:paraId="1BAD7C40" w14:textId="77777777" w:rsidR="009D1572" w:rsidRPr="00C26BA4" w:rsidRDefault="009D1572" w:rsidP="00FC652E">
      <w:pPr>
        <w:numPr>
          <w:ilvl w:val="0"/>
          <w:numId w:val="18"/>
        </w:numPr>
        <w:spacing w:after="0" w:line="24" w:lineRule="atLeast"/>
        <w:contextualSpacing/>
        <w:jc w:val="both"/>
        <w:rPr>
          <w:rFonts w:ascii="Times New Roman" w:eastAsia="Calibri" w:hAnsi="Times New Roman" w:cs="Times New Roman"/>
          <w:sz w:val="24"/>
          <w:szCs w:val="24"/>
        </w:rPr>
      </w:pPr>
      <w:r w:rsidRPr="00C26BA4">
        <w:rPr>
          <w:rFonts w:ascii="Times New Roman" w:eastAsia="Calibri" w:hAnsi="Times New Roman" w:cs="Times New Roman"/>
          <w:sz w:val="24"/>
          <w:szCs w:val="24"/>
        </w:rPr>
        <w:lastRenderedPageBreak/>
        <w:t>Ensure transparency and accountability mechanism through maintaining registers and records. This will also involve preparation of monthly defaulters list; repair and maintenance of rental houses.</w:t>
      </w:r>
    </w:p>
    <w:p w14:paraId="698474EB" w14:textId="77777777" w:rsidR="009D1572" w:rsidRPr="00C26BA4" w:rsidRDefault="009D1572" w:rsidP="00FC652E">
      <w:pPr>
        <w:numPr>
          <w:ilvl w:val="0"/>
          <w:numId w:val="18"/>
        </w:numPr>
        <w:spacing w:after="0" w:line="24" w:lineRule="atLeast"/>
        <w:contextualSpacing/>
        <w:jc w:val="both"/>
        <w:rPr>
          <w:rFonts w:ascii="Times New Roman" w:eastAsia="Calibri" w:hAnsi="Times New Roman" w:cs="Times New Roman"/>
          <w:sz w:val="24"/>
          <w:szCs w:val="24"/>
        </w:rPr>
      </w:pPr>
      <w:r w:rsidRPr="00C26BA4">
        <w:rPr>
          <w:rFonts w:ascii="Times New Roman" w:eastAsia="Calibri" w:hAnsi="Times New Roman" w:cs="Times New Roman"/>
          <w:sz w:val="24"/>
          <w:szCs w:val="24"/>
        </w:rPr>
        <w:t>Sensitization of stakeholders on revenue generation.</w:t>
      </w:r>
    </w:p>
    <w:p w14:paraId="19865B20" w14:textId="77777777" w:rsidR="009D1572" w:rsidRPr="00C26BA4" w:rsidRDefault="009D1572" w:rsidP="00FC652E">
      <w:pPr>
        <w:numPr>
          <w:ilvl w:val="0"/>
          <w:numId w:val="18"/>
        </w:numPr>
        <w:spacing w:after="0" w:line="24" w:lineRule="atLeast"/>
        <w:contextualSpacing/>
        <w:jc w:val="both"/>
        <w:rPr>
          <w:rFonts w:ascii="Times New Roman" w:eastAsia="Calibri" w:hAnsi="Times New Roman" w:cs="Times New Roman"/>
          <w:sz w:val="24"/>
          <w:szCs w:val="24"/>
        </w:rPr>
      </w:pPr>
      <w:r w:rsidRPr="00C26BA4">
        <w:rPr>
          <w:rFonts w:ascii="Times New Roman" w:eastAsia="Calibri" w:hAnsi="Times New Roman" w:cs="Times New Roman"/>
          <w:sz w:val="24"/>
          <w:szCs w:val="24"/>
        </w:rPr>
        <w:t xml:space="preserve">Automation of Revenue Collection- mainly, the revenue collection systems are semi-automated and manual; thus difficult to determine in certainty the amount being collected. To address this, the county intends to establish fully automated revenue collection system and eliminate the manual system. </w:t>
      </w:r>
    </w:p>
    <w:p w14:paraId="2DF47EF3" w14:textId="77777777" w:rsidR="009D1572" w:rsidRPr="00C26BA4" w:rsidRDefault="009D1572" w:rsidP="00FC652E">
      <w:pPr>
        <w:numPr>
          <w:ilvl w:val="0"/>
          <w:numId w:val="18"/>
        </w:numPr>
        <w:spacing w:after="0" w:line="24" w:lineRule="atLeast"/>
        <w:contextualSpacing/>
        <w:jc w:val="both"/>
        <w:rPr>
          <w:rFonts w:ascii="Times New Roman" w:eastAsia="Calibri" w:hAnsi="Times New Roman" w:cs="Times New Roman"/>
          <w:sz w:val="24"/>
          <w:szCs w:val="24"/>
        </w:rPr>
      </w:pPr>
      <w:r w:rsidRPr="00C26BA4">
        <w:rPr>
          <w:rFonts w:ascii="Times New Roman" w:eastAsia="Calibri" w:hAnsi="Times New Roman" w:cs="Times New Roman"/>
          <w:sz w:val="24"/>
          <w:szCs w:val="24"/>
        </w:rPr>
        <w:t>Revenue Targets- staff involved in revenue collection will have targets upon which their performance will be measured against.</w:t>
      </w:r>
    </w:p>
    <w:p w14:paraId="17B6FC42" w14:textId="77777777" w:rsidR="009D1572" w:rsidRPr="00C26BA4" w:rsidRDefault="009D1572" w:rsidP="00FC652E">
      <w:pPr>
        <w:spacing w:after="0" w:line="24" w:lineRule="atLeast"/>
        <w:ind w:left="810"/>
        <w:contextualSpacing/>
        <w:jc w:val="both"/>
        <w:rPr>
          <w:rFonts w:ascii="Times New Roman" w:eastAsia="Calibri" w:hAnsi="Times New Roman" w:cs="Times New Roman"/>
          <w:sz w:val="24"/>
          <w:szCs w:val="24"/>
        </w:rPr>
      </w:pPr>
    </w:p>
    <w:p w14:paraId="61F82A7E" w14:textId="77777777" w:rsidR="009D1572" w:rsidRPr="00C26BA4" w:rsidRDefault="009D1572" w:rsidP="009D1572">
      <w:pPr>
        <w:spacing w:after="0" w:line="24" w:lineRule="atLeast"/>
        <w:ind w:left="810"/>
        <w:contextualSpacing/>
        <w:jc w:val="both"/>
        <w:rPr>
          <w:rFonts w:ascii="Times New Roman" w:eastAsia="Calibri" w:hAnsi="Times New Roman" w:cs="Times New Roman"/>
          <w:sz w:val="24"/>
          <w:szCs w:val="24"/>
        </w:rPr>
      </w:pPr>
    </w:p>
    <w:p w14:paraId="08831EA9" w14:textId="77777777" w:rsidR="009D1572" w:rsidRPr="00C26BA4" w:rsidRDefault="009D1572" w:rsidP="009D1572">
      <w:pPr>
        <w:rPr>
          <w:rFonts w:ascii="Times New Roman" w:eastAsiaTheme="minorHAnsi" w:hAnsi="Times New Roman" w:cs="Times New Roman"/>
          <w:b/>
          <w:sz w:val="24"/>
          <w:szCs w:val="24"/>
        </w:rPr>
      </w:pPr>
      <w:r w:rsidRPr="00C26BA4">
        <w:rPr>
          <w:rFonts w:ascii="Times New Roman" w:eastAsiaTheme="minorHAnsi" w:hAnsi="Times New Roman" w:cs="Times New Roman"/>
          <w:b/>
          <w:sz w:val="24"/>
          <w:szCs w:val="24"/>
        </w:rPr>
        <w:t>3.3.2</w:t>
      </w:r>
      <w:r w:rsidRPr="00C26BA4">
        <w:rPr>
          <w:rFonts w:ascii="Times New Roman" w:eastAsiaTheme="minorHAnsi" w:hAnsi="Times New Roman" w:cs="Times New Roman"/>
          <w:b/>
          <w:sz w:val="24"/>
          <w:szCs w:val="24"/>
        </w:rPr>
        <w:tab/>
        <w:t>Expenditure management and budgetary control</w:t>
      </w:r>
    </w:p>
    <w:p w14:paraId="293BE8AD" w14:textId="20491FF0" w:rsidR="009D1572" w:rsidRPr="00C26BA4" w:rsidRDefault="009D1572" w:rsidP="00214809">
      <w:pPr>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In the medium term the county government will strengthen expenditure management focusing on expendi</w:t>
      </w:r>
      <w:r w:rsidR="009D2866">
        <w:rPr>
          <w:rFonts w:ascii="Times New Roman" w:eastAsiaTheme="minorHAnsi" w:hAnsi="Times New Roman" w:cs="Times New Roman"/>
          <w:sz w:val="24"/>
          <w:szCs w:val="24"/>
        </w:rPr>
        <w:t xml:space="preserve">ture productivity. Government </w:t>
      </w:r>
      <w:r w:rsidRPr="00C26BA4">
        <w:rPr>
          <w:rFonts w:ascii="Times New Roman" w:eastAsiaTheme="minorHAnsi" w:hAnsi="Times New Roman" w:cs="Times New Roman"/>
          <w:sz w:val="24"/>
          <w:szCs w:val="24"/>
        </w:rPr>
        <w:t xml:space="preserve">regulations/laws on effective management of budget .This will be done by full implementation of the Integrated Financial Management Information System (IFMIS) with adoption of </w:t>
      </w:r>
      <w:r w:rsidR="009D2866">
        <w:rPr>
          <w:rFonts w:ascii="Times New Roman" w:eastAsiaTheme="minorHAnsi" w:hAnsi="Times New Roman" w:cs="Times New Roman"/>
          <w:sz w:val="24"/>
          <w:szCs w:val="24"/>
        </w:rPr>
        <w:t>expenditure management and p</w:t>
      </w:r>
      <w:r w:rsidRPr="00C26BA4">
        <w:rPr>
          <w:rFonts w:ascii="Times New Roman" w:eastAsiaTheme="minorHAnsi" w:hAnsi="Times New Roman" w:cs="Times New Roman"/>
          <w:sz w:val="24"/>
          <w:szCs w:val="24"/>
        </w:rPr>
        <w:t>rocuremen</w:t>
      </w:r>
      <w:r w:rsidR="009D2866">
        <w:rPr>
          <w:rFonts w:ascii="Times New Roman" w:eastAsiaTheme="minorHAnsi" w:hAnsi="Times New Roman" w:cs="Times New Roman"/>
          <w:sz w:val="24"/>
          <w:szCs w:val="24"/>
        </w:rPr>
        <w:t>t modules</w:t>
      </w:r>
      <w:r w:rsidRPr="00C26BA4">
        <w:rPr>
          <w:rFonts w:ascii="Times New Roman" w:eastAsiaTheme="minorHAnsi" w:hAnsi="Times New Roman" w:cs="Times New Roman"/>
          <w:sz w:val="24"/>
          <w:szCs w:val="24"/>
        </w:rPr>
        <w:t xml:space="preserve">. The Impact of information technology on effective management of budget has been </w:t>
      </w:r>
      <w:r w:rsidR="009D2866">
        <w:rPr>
          <w:rFonts w:ascii="Times New Roman" w:eastAsiaTheme="minorHAnsi" w:hAnsi="Times New Roman" w:cs="Times New Roman"/>
          <w:sz w:val="24"/>
          <w:szCs w:val="24"/>
        </w:rPr>
        <w:t>tremendous through Hyperion module</w:t>
      </w:r>
    </w:p>
    <w:p w14:paraId="7A59FFEC" w14:textId="77777777" w:rsidR="009D1572" w:rsidRPr="00C26BA4" w:rsidRDefault="009D1572" w:rsidP="00214809">
      <w:pPr>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Competent Staff will be a great tool in effective management of budget that will include capacity building. Government will ensure that each officer engaged in the budgeting process participates in trainings on effective management of the budget and in accordance to the law.</w:t>
      </w:r>
    </w:p>
    <w:p w14:paraId="69BC0116" w14:textId="79291326" w:rsidR="009D1572" w:rsidRPr="00C26BA4" w:rsidRDefault="009D1572" w:rsidP="00214809">
      <w:pPr>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Public participation on effectiv</w:t>
      </w:r>
      <w:r w:rsidR="00685EA6">
        <w:rPr>
          <w:rFonts w:ascii="Times New Roman" w:eastAsiaTheme="minorHAnsi" w:hAnsi="Times New Roman" w:cs="Times New Roman"/>
          <w:sz w:val="24"/>
          <w:szCs w:val="24"/>
        </w:rPr>
        <w:t xml:space="preserve">e management of budgeting process by engaging </w:t>
      </w:r>
      <w:r w:rsidRPr="00C26BA4">
        <w:rPr>
          <w:rFonts w:ascii="Times New Roman" w:eastAsiaTheme="minorHAnsi" w:hAnsi="Times New Roman" w:cs="Times New Roman"/>
          <w:sz w:val="24"/>
          <w:szCs w:val="24"/>
        </w:rPr>
        <w:t>all including the elected leaders, special groups of women and youth and all opinion shapers in the county. Development committees such</w:t>
      </w:r>
      <w:r w:rsidR="00685EA6">
        <w:rPr>
          <w:rFonts w:ascii="Times New Roman" w:eastAsiaTheme="minorHAnsi" w:hAnsi="Times New Roman" w:cs="Times New Roman"/>
          <w:sz w:val="24"/>
          <w:szCs w:val="24"/>
        </w:rPr>
        <w:t xml:space="preserve"> as</w:t>
      </w:r>
      <w:r w:rsidRPr="00C26BA4">
        <w:rPr>
          <w:rFonts w:ascii="Times New Roman" w:eastAsiaTheme="minorHAnsi" w:hAnsi="Times New Roman" w:cs="Times New Roman"/>
          <w:sz w:val="24"/>
          <w:szCs w:val="24"/>
        </w:rPr>
        <w:t xml:space="preserve"> S</w:t>
      </w:r>
      <w:r w:rsidR="009D2866">
        <w:rPr>
          <w:rFonts w:ascii="Times New Roman" w:eastAsiaTheme="minorHAnsi" w:hAnsi="Times New Roman" w:cs="Times New Roman"/>
          <w:sz w:val="24"/>
          <w:szCs w:val="24"/>
        </w:rPr>
        <w:t>ub</w:t>
      </w:r>
      <w:r w:rsidR="00685EA6">
        <w:rPr>
          <w:rFonts w:ascii="Times New Roman" w:eastAsiaTheme="minorHAnsi" w:hAnsi="Times New Roman" w:cs="Times New Roman"/>
          <w:sz w:val="24"/>
          <w:szCs w:val="24"/>
        </w:rPr>
        <w:t xml:space="preserve"> </w:t>
      </w:r>
      <w:r w:rsidR="009D2866">
        <w:rPr>
          <w:rFonts w:ascii="Times New Roman" w:eastAsiaTheme="minorHAnsi" w:hAnsi="Times New Roman" w:cs="Times New Roman"/>
          <w:sz w:val="24"/>
          <w:szCs w:val="24"/>
        </w:rPr>
        <w:t xml:space="preserve">county </w:t>
      </w:r>
      <w:r w:rsidRPr="00C26BA4">
        <w:rPr>
          <w:rFonts w:ascii="Times New Roman" w:eastAsiaTheme="minorHAnsi" w:hAnsi="Times New Roman" w:cs="Times New Roman"/>
          <w:sz w:val="24"/>
          <w:szCs w:val="24"/>
        </w:rPr>
        <w:t>D</w:t>
      </w:r>
      <w:r w:rsidR="009D2866">
        <w:rPr>
          <w:rFonts w:ascii="Times New Roman" w:eastAsiaTheme="minorHAnsi" w:hAnsi="Times New Roman" w:cs="Times New Roman"/>
          <w:sz w:val="24"/>
          <w:szCs w:val="24"/>
        </w:rPr>
        <w:t xml:space="preserve">evelopment </w:t>
      </w:r>
      <w:r w:rsidR="00685EA6" w:rsidRPr="00C26BA4">
        <w:rPr>
          <w:rFonts w:ascii="Times New Roman" w:eastAsiaTheme="minorHAnsi" w:hAnsi="Times New Roman" w:cs="Times New Roman"/>
          <w:sz w:val="24"/>
          <w:szCs w:val="24"/>
        </w:rPr>
        <w:t>C</w:t>
      </w:r>
      <w:r w:rsidR="00685EA6">
        <w:rPr>
          <w:rFonts w:ascii="Times New Roman" w:eastAsiaTheme="minorHAnsi" w:hAnsi="Times New Roman" w:cs="Times New Roman"/>
          <w:sz w:val="24"/>
          <w:szCs w:val="24"/>
        </w:rPr>
        <w:t>ommittee’s</w:t>
      </w:r>
      <w:r w:rsidRPr="00C26BA4">
        <w:rPr>
          <w:rFonts w:ascii="Times New Roman" w:eastAsiaTheme="minorHAnsi" w:hAnsi="Times New Roman" w:cs="Times New Roman"/>
          <w:sz w:val="24"/>
          <w:szCs w:val="24"/>
        </w:rPr>
        <w:t>, W</w:t>
      </w:r>
      <w:r w:rsidR="00685EA6">
        <w:rPr>
          <w:rFonts w:ascii="Times New Roman" w:eastAsiaTheme="minorHAnsi" w:hAnsi="Times New Roman" w:cs="Times New Roman"/>
          <w:sz w:val="24"/>
          <w:szCs w:val="24"/>
        </w:rPr>
        <w:t>ard</w:t>
      </w:r>
      <w:r w:rsidR="00685EA6" w:rsidRPr="00685EA6">
        <w:rPr>
          <w:rFonts w:ascii="Times New Roman" w:eastAsiaTheme="minorHAnsi" w:hAnsi="Times New Roman" w:cs="Times New Roman"/>
          <w:sz w:val="24"/>
          <w:szCs w:val="24"/>
        </w:rPr>
        <w:t xml:space="preserve"> </w:t>
      </w:r>
      <w:r w:rsidR="00685EA6" w:rsidRPr="00C26BA4">
        <w:rPr>
          <w:rFonts w:ascii="Times New Roman" w:eastAsiaTheme="minorHAnsi" w:hAnsi="Times New Roman" w:cs="Times New Roman"/>
          <w:sz w:val="24"/>
          <w:szCs w:val="24"/>
        </w:rPr>
        <w:t>D</w:t>
      </w:r>
      <w:r w:rsidR="00685EA6">
        <w:rPr>
          <w:rFonts w:ascii="Times New Roman" w:eastAsiaTheme="minorHAnsi" w:hAnsi="Times New Roman" w:cs="Times New Roman"/>
          <w:sz w:val="24"/>
          <w:szCs w:val="24"/>
        </w:rPr>
        <w:t xml:space="preserve">evelopment </w:t>
      </w:r>
      <w:r w:rsidR="00685EA6" w:rsidRPr="00C26BA4">
        <w:rPr>
          <w:rFonts w:ascii="Times New Roman" w:eastAsiaTheme="minorHAnsi" w:hAnsi="Times New Roman" w:cs="Times New Roman"/>
          <w:sz w:val="24"/>
          <w:szCs w:val="24"/>
        </w:rPr>
        <w:t>C</w:t>
      </w:r>
      <w:r w:rsidR="00685EA6">
        <w:rPr>
          <w:rFonts w:ascii="Times New Roman" w:eastAsiaTheme="minorHAnsi" w:hAnsi="Times New Roman" w:cs="Times New Roman"/>
          <w:sz w:val="24"/>
          <w:szCs w:val="24"/>
        </w:rPr>
        <w:t>ommittees, MESC and Budget &amp; economic forum will all be used as consultative</w:t>
      </w:r>
      <w:r w:rsidRPr="00C26BA4">
        <w:rPr>
          <w:rFonts w:ascii="Times New Roman" w:eastAsiaTheme="minorHAnsi" w:hAnsi="Times New Roman" w:cs="Times New Roman"/>
          <w:sz w:val="24"/>
          <w:szCs w:val="24"/>
        </w:rPr>
        <w:t xml:space="preserve"> g</w:t>
      </w:r>
      <w:r w:rsidR="00685EA6">
        <w:rPr>
          <w:rFonts w:ascii="Times New Roman" w:eastAsiaTheme="minorHAnsi" w:hAnsi="Times New Roman" w:cs="Times New Roman"/>
          <w:sz w:val="24"/>
          <w:szCs w:val="24"/>
        </w:rPr>
        <w:t>uiding budgetary process</w:t>
      </w:r>
      <w:r w:rsidRPr="00C26BA4">
        <w:rPr>
          <w:rFonts w:ascii="Times New Roman" w:eastAsiaTheme="minorHAnsi" w:hAnsi="Times New Roman" w:cs="Times New Roman"/>
          <w:sz w:val="24"/>
          <w:szCs w:val="24"/>
        </w:rPr>
        <w:t>.</w:t>
      </w:r>
    </w:p>
    <w:p w14:paraId="3A30F25A" w14:textId="37D08706" w:rsidR="00501E93" w:rsidRDefault="009D1572" w:rsidP="00214809">
      <w:pPr>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The county will further employ austerity measures like cutting on recurrent costs to free resources to implement high impact projects in the FY2019/2020.</w:t>
      </w:r>
    </w:p>
    <w:p w14:paraId="36F59A56" w14:textId="77777777" w:rsidR="00214809" w:rsidRDefault="00214809" w:rsidP="00214809">
      <w:pPr>
        <w:jc w:val="both"/>
        <w:rPr>
          <w:rFonts w:ascii="Times New Roman" w:eastAsiaTheme="minorHAnsi" w:hAnsi="Times New Roman" w:cs="Times New Roman"/>
          <w:sz w:val="24"/>
          <w:szCs w:val="24"/>
        </w:rPr>
      </w:pPr>
    </w:p>
    <w:p w14:paraId="068D9D35" w14:textId="77777777" w:rsidR="00497264" w:rsidRDefault="00497264" w:rsidP="00214809">
      <w:pPr>
        <w:jc w:val="both"/>
        <w:rPr>
          <w:rFonts w:ascii="Times New Roman" w:eastAsiaTheme="minorHAnsi" w:hAnsi="Times New Roman" w:cs="Times New Roman"/>
          <w:sz w:val="24"/>
          <w:szCs w:val="24"/>
        </w:rPr>
      </w:pPr>
    </w:p>
    <w:p w14:paraId="01D4AABD" w14:textId="77777777" w:rsidR="00497264" w:rsidRDefault="00497264" w:rsidP="00214809">
      <w:pPr>
        <w:jc w:val="both"/>
        <w:rPr>
          <w:rFonts w:ascii="Times New Roman" w:eastAsiaTheme="minorHAnsi" w:hAnsi="Times New Roman" w:cs="Times New Roman"/>
          <w:sz w:val="24"/>
          <w:szCs w:val="24"/>
        </w:rPr>
      </w:pPr>
    </w:p>
    <w:p w14:paraId="56A6B5C7" w14:textId="77777777" w:rsidR="00497264" w:rsidRDefault="00497264" w:rsidP="00214809">
      <w:pPr>
        <w:jc w:val="both"/>
        <w:rPr>
          <w:rFonts w:ascii="Times New Roman" w:eastAsiaTheme="minorHAnsi" w:hAnsi="Times New Roman" w:cs="Times New Roman"/>
          <w:sz w:val="24"/>
          <w:szCs w:val="24"/>
        </w:rPr>
      </w:pPr>
    </w:p>
    <w:p w14:paraId="54987813" w14:textId="77777777" w:rsidR="00497264" w:rsidRDefault="00497264" w:rsidP="00214809">
      <w:pPr>
        <w:jc w:val="both"/>
        <w:rPr>
          <w:rFonts w:ascii="Times New Roman" w:eastAsiaTheme="minorHAnsi" w:hAnsi="Times New Roman" w:cs="Times New Roman"/>
          <w:sz w:val="24"/>
          <w:szCs w:val="24"/>
        </w:rPr>
      </w:pPr>
    </w:p>
    <w:p w14:paraId="78434724" w14:textId="77777777" w:rsidR="00497264" w:rsidRPr="00C26BA4" w:rsidRDefault="00497264" w:rsidP="00214809">
      <w:pPr>
        <w:jc w:val="both"/>
        <w:rPr>
          <w:rFonts w:ascii="Times New Roman" w:eastAsiaTheme="minorHAnsi" w:hAnsi="Times New Roman" w:cs="Times New Roman"/>
          <w:sz w:val="24"/>
          <w:szCs w:val="24"/>
        </w:rPr>
      </w:pPr>
    </w:p>
    <w:p w14:paraId="66C22CF6" w14:textId="77777777" w:rsidR="009D1572" w:rsidRPr="00C26BA4" w:rsidRDefault="009D1572" w:rsidP="009D1572">
      <w:pPr>
        <w:rPr>
          <w:rFonts w:ascii="Times New Roman" w:eastAsiaTheme="minorHAnsi" w:hAnsi="Times New Roman" w:cs="Times New Roman"/>
          <w:b/>
          <w:sz w:val="24"/>
          <w:szCs w:val="24"/>
        </w:rPr>
      </w:pPr>
      <w:r w:rsidRPr="00C26BA4">
        <w:rPr>
          <w:rFonts w:ascii="Times New Roman" w:eastAsiaTheme="minorHAnsi" w:hAnsi="Times New Roman" w:cs="Times New Roman"/>
          <w:b/>
          <w:sz w:val="24"/>
          <w:szCs w:val="24"/>
        </w:rPr>
        <w:t>3.4</w:t>
      </w:r>
      <w:r w:rsidRPr="00C26BA4">
        <w:rPr>
          <w:rFonts w:ascii="Times New Roman" w:eastAsiaTheme="minorHAnsi" w:hAnsi="Times New Roman" w:cs="Times New Roman"/>
          <w:b/>
          <w:sz w:val="24"/>
          <w:szCs w:val="24"/>
        </w:rPr>
        <w:tab/>
        <w:t>Risks to the Outlook</w:t>
      </w:r>
    </w:p>
    <w:p w14:paraId="4243CA96" w14:textId="77777777" w:rsidR="009D1572" w:rsidRPr="00C26BA4" w:rsidRDefault="009D1572" w:rsidP="000C53F6">
      <w:pPr>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 xml:space="preserve">Brexit outcome will greatly affect the financial market globally by amount the donor countries will release to countries or through the changing exchange rate. The recent geopolitical tensions </w:t>
      </w:r>
      <w:r w:rsidRPr="00C26BA4">
        <w:rPr>
          <w:rFonts w:ascii="Times New Roman" w:eastAsiaTheme="minorHAnsi" w:hAnsi="Times New Roman" w:cs="Times New Roman"/>
          <w:sz w:val="24"/>
          <w:szCs w:val="24"/>
        </w:rPr>
        <w:lastRenderedPageBreak/>
        <w:t xml:space="preserve">building around production and use of nuclear weapons if not addressed could weigh down global growth with negative impact on trade and financial flows.  </w:t>
      </w:r>
    </w:p>
    <w:p w14:paraId="3DBFA194" w14:textId="77777777" w:rsidR="009D1572" w:rsidRPr="00C26BA4" w:rsidRDefault="009D1572" w:rsidP="000C53F6">
      <w:pPr>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Untimely release of resources from the National Government to the Counties and changing equitable share by the national Government will have effects on the outlook. Delayed transfer of funds to the County will cause delayed implementation in counties.</w:t>
      </w:r>
    </w:p>
    <w:p w14:paraId="7BA6705F" w14:textId="77777777" w:rsidR="009D1572" w:rsidRPr="00C26BA4" w:rsidRDefault="009D1572" w:rsidP="000C53F6">
      <w:pPr>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Continued uncertainty on the amount the counties are to receive in equitable share will greatly affect the outlook as counties continue to plan with a blind and anticipation.</w:t>
      </w:r>
    </w:p>
    <w:p w14:paraId="3B31E2E6" w14:textId="77777777" w:rsidR="009D1572" w:rsidRPr="00C26BA4" w:rsidRDefault="009D1572" w:rsidP="000C53F6">
      <w:pPr>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Reduction in equitable share usually affects development budget by revising it downwards.</w:t>
      </w:r>
    </w:p>
    <w:p w14:paraId="6D4B53E1" w14:textId="41F37AE4" w:rsidR="009D1572" w:rsidRPr="00C26BA4" w:rsidRDefault="009D1572" w:rsidP="000C53F6">
      <w:pPr>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 xml:space="preserve">Climate change has caused changes in Overreliance to rain fed agriculture which has seen poor nutrition in the county and hence need to address </w:t>
      </w:r>
      <w:r w:rsidR="00110698">
        <w:rPr>
          <w:rFonts w:ascii="Times New Roman" w:eastAsiaTheme="minorHAnsi" w:hAnsi="Times New Roman" w:cs="Times New Roman"/>
          <w:sz w:val="24"/>
          <w:szCs w:val="24"/>
        </w:rPr>
        <w:t>the issues of weather changes</w:t>
      </w:r>
      <w:r w:rsidRPr="00C26BA4">
        <w:rPr>
          <w:rFonts w:ascii="Times New Roman" w:eastAsiaTheme="minorHAnsi" w:hAnsi="Times New Roman" w:cs="Times New Roman"/>
          <w:sz w:val="24"/>
          <w:szCs w:val="24"/>
        </w:rPr>
        <w:t>.</w:t>
      </w:r>
    </w:p>
    <w:p w14:paraId="7DDDC89C" w14:textId="77777777" w:rsidR="009D1572" w:rsidRPr="00C26BA4" w:rsidRDefault="009D1572" w:rsidP="000C53F6">
      <w:pPr>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The County Government will monitor the above risks and take appropriate measures to safeguard macroeconomic stability. That may include</w:t>
      </w:r>
    </w:p>
    <w:p w14:paraId="4065FBD6" w14:textId="77777777" w:rsidR="009D1572" w:rsidRPr="00C26BA4" w:rsidRDefault="009D1572" w:rsidP="000C53F6">
      <w:pPr>
        <w:numPr>
          <w:ilvl w:val="0"/>
          <w:numId w:val="17"/>
        </w:numPr>
        <w:contextualSpacing/>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Increased efficiency of revenue allocation</w:t>
      </w:r>
    </w:p>
    <w:p w14:paraId="237B21A0" w14:textId="77777777" w:rsidR="009D1572" w:rsidRPr="00C26BA4" w:rsidRDefault="009D1572" w:rsidP="000C53F6">
      <w:pPr>
        <w:numPr>
          <w:ilvl w:val="0"/>
          <w:numId w:val="17"/>
        </w:numPr>
        <w:contextualSpacing/>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Increased efficiency of priority expenditures</w:t>
      </w:r>
    </w:p>
    <w:p w14:paraId="45C5CBA5" w14:textId="77777777" w:rsidR="009D1572" w:rsidRPr="00C26BA4" w:rsidRDefault="009D1572" w:rsidP="000C53F6">
      <w:pPr>
        <w:numPr>
          <w:ilvl w:val="0"/>
          <w:numId w:val="17"/>
        </w:numPr>
        <w:contextualSpacing/>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Better intra-sectoral resource allocation in the priority sectors</w:t>
      </w:r>
    </w:p>
    <w:p w14:paraId="50224E95" w14:textId="77777777" w:rsidR="009D1572" w:rsidRPr="00C26BA4" w:rsidRDefault="009D1572" w:rsidP="000C53F6">
      <w:pPr>
        <w:numPr>
          <w:ilvl w:val="0"/>
          <w:numId w:val="17"/>
        </w:numPr>
        <w:contextualSpacing/>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Safeguarding resource allocation to the priority sectors.</w:t>
      </w:r>
    </w:p>
    <w:p w14:paraId="4F2D9B92" w14:textId="77777777" w:rsidR="009D1572" w:rsidRPr="00C26BA4" w:rsidRDefault="009D1572" w:rsidP="000C53F6">
      <w:pPr>
        <w:numPr>
          <w:ilvl w:val="0"/>
          <w:numId w:val="17"/>
        </w:numPr>
        <w:contextualSpacing/>
        <w:jc w:val="both"/>
        <w:rPr>
          <w:rFonts w:ascii="Times New Roman" w:eastAsiaTheme="minorHAnsi" w:hAnsi="Times New Roman" w:cs="Times New Roman"/>
          <w:sz w:val="24"/>
          <w:szCs w:val="24"/>
        </w:rPr>
      </w:pPr>
      <w:r w:rsidRPr="00C26BA4">
        <w:rPr>
          <w:rFonts w:ascii="Times New Roman" w:eastAsiaTheme="minorHAnsi" w:hAnsi="Times New Roman" w:cs="Times New Roman"/>
          <w:sz w:val="24"/>
          <w:szCs w:val="24"/>
        </w:rPr>
        <w:t>Amicable solution to delayed resource release by the national government.</w:t>
      </w:r>
    </w:p>
    <w:p w14:paraId="23B60A08" w14:textId="77777777" w:rsidR="009D1572" w:rsidRPr="009D1572" w:rsidRDefault="009D1572" w:rsidP="000C53F6">
      <w:pPr>
        <w:numPr>
          <w:ilvl w:val="0"/>
          <w:numId w:val="17"/>
        </w:numPr>
        <w:contextualSpacing/>
        <w:jc w:val="both"/>
        <w:rPr>
          <w:rFonts w:asciiTheme="majorHAnsi" w:eastAsiaTheme="minorHAnsi" w:hAnsiTheme="majorHAnsi"/>
          <w:sz w:val="24"/>
          <w:szCs w:val="24"/>
        </w:rPr>
      </w:pPr>
      <w:r w:rsidRPr="00C26BA4">
        <w:rPr>
          <w:rFonts w:ascii="Times New Roman" w:eastAsiaTheme="minorHAnsi" w:hAnsi="Times New Roman" w:cs="Times New Roman"/>
          <w:sz w:val="24"/>
          <w:szCs w:val="24"/>
        </w:rPr>
        <w:t>Push for constitutional amendment to increase amount to county governments</w:t>
      </w:r>
      <w:r w:rsidRPr="009D1572">
        <w:rPr>
          <w:rFonts w:asciiTheme="majorHAnsi" w:eastAsiaTheme="minorHAnsi" w:hAnsiTheme="majorHAnsi"/>
          <w:sz w:val="24"/>
          <w:szCs w:val="24"/>
        </w:rPr>
        <w:t>.</w:t>
      </w:r>
    </w:p>
    <w:p w14:paraId="19AB8E27" w14:textId="77777777" w:rsidR="009D1572" w:rsidRPr="009D1572" w:rsidRDefault="009D1572" w:rsidP="009D1572">
      <w:pPr>
        <w:ind w:left="720"/>
        <w:contextualSpacing/>
        <w:rPr>
          <w:rFonts w:asciiTheme="majorHAnsi" w:eastAsiaTheme="minorHAnsi" w:hAnsiTheme="majorHAnsi"/>
          <w:sz w:val="24"/>
          <w:szCs w:val="24"/>
        </w:rPr>
      </w:pPr>
    </w:p>
    <w:p w14:paraId="5022CE62" w14:textId="11E10906" w:rsidR="009D1572" w:rsidRDefault="009D1572" w:rsidP="00E661F6">
      <w:pPr>
        <w:rPr>
          <w:rFonts w:ascii="Times New Roman" w:hAnsi="Times New Roman" w:cs="Times New Roman"/>
          <w:sz w:val="24"/>
          <w:szCs w:val="24"/>
        </w:rPr>
      </w:pPr>
    </w:p>
    <w:p w14:paraId="0123E015" w14:textId="5858423F" w:rsidR="009D1572" w:rsidRDefault="009D1572" w:rsidP="009D1572">
      <w:pPr>
        <w:rPr>
          <w:rFonts w:ascii="Times New Roman" w:hAnsi="Times New Roman" w:cs="Times New Roman"/>
          <w:sz w:val="24"/>
          <w:szCs w:val="24"/>
        </w:rPr>
      </w:pPr>
    </w:p>
    <w:p w14:paraId="4CF242B4" w14:textId="77777777" w:rsidR="00EE6525" w:rsidRPr="009D1572" w:rsidRDefault="00EE6525" w:rsidP="009D1572">
      <w:pPr>
        <w:rPr>
          <w:rFonts w:ascii="Times New Roman" w:hAnsi="Times New Roman" w:cs="Times New Roman"/>
          <w:sz w:val="24"/>
          <w:szCs w:val="24"/>
        </w:rPr>
        <w:sectPr w:rsidR="00EE6525" w:rsidRPr="009D1572" w:rsidSect="00E4673B">
          <w:pgSz w:w="11907" w:h="16839" w:code="9"/>
          <w:pgMar w:top="1440" w:right="1440" w:bottom="1440" w:left="1440" w:header="720" w:footer="740" w:gutter="0"/>
          <w:cols w:space="720"/>
          <w:docGrid w:linePitch="360"/>
        </w:sectPr>
      </w:pPr>
    </w:p>
    <w:p w14:paraId="62545FBD" w14:textId="77777777" w:rsidR="0045458E" w:rsidRPr="00766EF1" w:rsidRDefault="007F297D" w:rsidP="00A8135F">
      <w:pPr>
        <w:pStyle w:val="Heading1"/>
        <w:numPr>
          <w:ilvl w:val="0"/>
          <w:numId w:val="24"/>
        </w:numPr>
        <w:pBdr>
          <w:bottom w:val="single" w:sz="4" w:space="1" w:color="auto"/>
        </w:pBdr>
        <w:spacing w:after="240"/>
        <w:ind w:hanging="720"/>
        <w:rPr>
          <w:rFonts w:ascii="Times New Roman" w:hAnsi="Times New Roman" w:cs="Times New Roman"/>
          <w:color w:val="auto"/>
          <w:sz w:val="24"/>
          <w:szCs w:val="24"/>
        </w:rPr>
      </w:pPr>
      <w:bookmarkStart w:id="72" w:name="_Toc23266841"/>
      <w:r w:rsidRPr="00766EF1">
        <w:rPr>
          <w:rFonts w:ascii="Times New Roman" w:hAnsi="Times New Roman" w:cs="Times New Roman"/>
          <w:color w:val="auto"/>
          <w:sz w:val="24"/>
          <w:szCs w:val="24"/>
        </w:rPr>
        <w:lastRenderedPageBreak/>
        <w:t>RESOURCE ALLOCATION FRAMEWORK</w:t>
      </w:r>
      <w:bookmarkEnd w:id="72"/>
      <w:r w:rsidRPr="00766EF1">
        <w:rPr>
          <w:rFonts w:ascii="Times New Roman" w:hAnsi="Times New Roman" w:cs="Times New Roman"/>
          <w:color w:val="auto"/>
          <w:sz w:val="24"/>
          <w:szCs w:val="24"/>
        </w:rPr>
        <w:t xml:space="preserve"> </w:t>
      </w:r>
    </w:p>
    <w:p w14:paraId="5A4BC1FF" w14:textId="134F2F49" w:rsidR="002154A1" w:rsidRPr="002154A1" w:rsidRDefault="00BC4546" w:rsidP="002154A1">
      <w:pPr>
        <w:jc w:val="both"/>
        <w:rPr>
          <w:rFonts w:ascii="Times New Roman" w:hAnsi="Times New Roman" w:cs="Times New Roman"/>
          <w:sz w:val="24"/>
          <w:szCs w:val="24"/>
        </w:rPr>
      </w:pPr>
      <w:r w:rsidRPr="00766EF1">
        <w:rPr>
          <w:rFonts w:ascii="Times New Roman" w:hAnsi="Times New Roman" w:cs="Times New Roman"/>
          <w:sz w:val="24"/>
          <w:szCs w:val="24"/>
        </w:rPr>
        <w:t>.</w:t>
      </w:r>
      <w:r w:rsidR="002154A1" w:rsidRPr="002154A1">
        <w:rPr>
          <w:rFonts w:ascii="Times New Roman" w:hAnsi="Times New Roman" w:cs="Times New Roman"/>
          <w:sz w:val="24"/>
          <w:szCs w:val="24"/>
        </w:rPr>
        <w:t xml:space="preserve"> This section sets out how the government intends to live within its means. It establishes the resource envelope or total revenues it expects then allocates these across departments by setting expenditure limits or ceilings for each.</w:t>
      </w:r>
    </w:p>
    <w:p w14:paraId="275E441B" w14:textId="77777777" w:rsidR="002154A1" w:rsidRPr="008956E9" w:rsidRDefault="002154A1" w:rsidP="008956E9">
      <w:pPr>
        <w:pStyle w:val="Heading2"/>
        <w:rPr>
          <w:rFonts w:ascii="Times New Roman" w:hAnsi="Times New Roman" w:cs="Times New Roman"/>
          <w:color w:val="auto"/>
        </w:rPr>
      </w:pPr>
      <w:bookmarkStart w:id="73" w:name="_Toc23266842"/>
      <w:r w:rsidRPr="008956E9">
        <w:rPr>
          <w:rFonts w:ascii="Times New Roman" w:hAnsi="Times New Roman" w:cs="Times New Roman"/>
          <w:color w:val="auto"/>
        </w:rPr>
        <w:t>4.1 Adjustment to the FY 2019/20 Budget</w:t>
      </w:r>
      <w:bookmarkEnd w:id="73"/>
    </w:p>
    <w:p w14:paraId="2D703EA5" w14:textId="34EBBB46" w:rsidR="002154A1" w:rsidRPr="002154A1" w:rsidRDefault="002154A1" w:rsidP="002154A1">
      <w:pPr>
        <w:jc w:val="both"/>
        <w:rPr>
          <w:rFonts w:ascii="Times New Roman" w:hAnsi="Times New Roman" w:cs="Times New Roman"/>
          <w:sz w:val="24"/>
          <w:szCs w:val="24"/>
        </w:rPr>
      </w:pPr>
      <w:r w:rsidRPr="002154A1">
        <w:rPr>
          <w:rFonts w:ascii="Times New Roman" w:hAnsi="Times New Roman" w:cs="Times New Roman"/>
          <w:sz w:val="24"/>
          <w:szCs w:val="24"/>
        </w:rPr>
        <w:t>The FY 2019/20 budget framework emphasizes on efficiency and effectiveness of public spending and improving revenue collection to ensure maximum economic growth across all sectors a</w:t>
      </w:r>
      <w:r w:rsidR="008956E9">
        <w:rPr>
          <w:rFonts w:ascii="Times New Roman" w:hAnsi="Times New Roman" w:cs="Times New Roman"/>
          <w:sz w:val="24"/>
          <w:szCs w:val="24"/>
        </w:rPr>
        <w:t>nd continued fiscal discipline.</w:t>
      </w:r>
    </w:p>
    <w:p w14:paraId="568196BC" w14:textId="3A2EAED8" w:rsidR="002154A1" w:rsidRPr="002154A1" w:rsidRDefault="002154A1" w:rsidP="002154A1">
      <w:pPr>
        <w:jc w:val="both"/>
        <w:rPr>
          <w:rFonts w:ascii="Times New Roman" w:hAnsi="Times New Roman" w:cs="Times New Roman"/>
          <w:sz w:val="24"/>
          <w:szCs w:val="24"/>
        </w:rPr>
      </w:pPr>
      <w:r w:rsidRPr="002154A1">
        <w:rPr>
          <w:rFonts w:ascii="Times New Roman" w:hAnsi="Times New Roman" w:cs="Times New Roman"/>
          <w:sz w:val="24"/>
          <w:szCs w:val="24"/>
        </w:rPr>
        <w:t xml:space="preserve">The underperformance in both revenue collection and expenditure in the FY 2018/19 (on account of the </w:t>
      </w:r>
      <w:r w:rsidR="00914039" w:rsidRPr="002E6DE5">
        <w:rPr>
          <w:rFonts w:ascii="Times New Roman" w:hAnsi="Times New Roman" w:cs="Times New Roman"/>
          <w:color w:val="000000" w:themeColor="text1"/>
          <w:sz w:val="24"/>
          <w:szCs w:val="24"/>
        </w:rPr>
        <w:t>Kshs</w:t>
      </w:r>
      <w:r w:rsidR="00430C5B">
        <w:rPr>
          <w:rFonts w:ascii="Times New Roman" w:hAnsi="Times New Roman" w:cs="Times New Roman"/>
          <w:color w:val="000000" w:themeColor="text1"/>
          <w:sz w:val="24"/>
          <w:szCs w:val="24"/>
        </w:rPr>
        <w:t>.1, 863,767,713.32</w:t>
      </w:r>
      <w:r w:rsidR="00430C5B" w:rsidRPr="00430C5B">
        <w:rPr>
          <w:rFonts w:ascii="Times New Roman" w:hAnsi="Times New Roman" w:cs="Times New Roman"/>
          <w:color w:val="000000" w:themeColor="text1"/>
          <w:sz w:val="24"/>
          <w:szCs w:val="24"/>
        </w:rPr>
        <w:t xml:space="preserve"> </w:t>
      </w:r>
      <w:r w:rsidR="00B54C30">
        <w:rPr>
          <w:rFonts w:ascii="Times New Roman" w:hAnsi="Times New Roman" w:cs="Times New Roman"/>
          <w:sz w:val="24"/>
          <w:szCs w:val="24"/>
        </w:rPr>
        <w:t>u</w:t>
      </w:r>
      <w:r w:rsidR="00430C5B">
        <w:rPr>
          <w:rFonts w:ascii="Times New Roman" w:hAnsi="Times New Roman" w:cs="Times New Roman"/>
          <w:sz w:val="24"/>
          <w:szCs w:val="24"/>
        </w:rPr>
        <w:t>n absorption</w:t>
      </w:r>
      <w:r w:rsidRPr="002154A1">
        <w:rPr>
          <w:rFonts w:ascii="Times New Roman" w:hAnsi="Times New Roman" w:cs="Times New Roman"/>
          <w:sz w:val="24"/>
          <w:szCs w:val="24"/>
        </w:rPr>
        <w:t xml:space="preserve"> in FY 2018/19) has implications on the financial objectives outlined in the 2019 County Fiscal Strategy Paper and the 2019/20 Budget. Given the underperformance in both revenue and expenditures during t</w:t>
      </w:r>
      <w:r w:rsidR="002743E4">
        <w:rPr>
          <w:rFonts w:ascii="Times New Roman" w:hAnsi="Times New Roman" w:cs="Times New Roman"/>
          <w:sz w:val="24"/>
          <w:szCs w:val="24"/>
        </w:rPr>
        <w:t>he FY 2018/19, projections for</w:t>
      </w:r>
      <w:r w:rsidRPr="002154A1">
        <w:rPr>
          <w:rFonts w:ascii="Times New Roman" w:hAnsi="Times New Roman" w:cs="Times New Roman"/>
          <w:sz w:val="24"/>
          <w:szCs w:val="24"/>
        </w:rPr>
        <w:t xml:space="preserve"> both the revenues and expenditur</w:t>
      </w:r>
      <w:r w:rsidR="002743E4">
        <w:rPr>
          <w:rFonts w:ascii="Times New Roman" w:hAnsi="Times New Roman" w:cs="Times New Roman"/>
          <w:sz w:val="24"/>
          <w:szCs w:val="24"/>
        </w:rPr>
        <w:t>es for the MTEF of FY2019/20 needs to be reviewed</w:t>
      </w:r>
      <w:r w:rsidR="00B968BB">
        <w:rPr>
          <w:rFonts w:ascii="Times New Roman" w:hAnsi="Times New Roman" w:cs="Times New Roman"/>
          <w:sz w:val="24"/>
          <w:szCs w:val="24"/>
        </w:rPr>
        <w:t>.</w:t>
      </w:r>
    </w:p>
    <w:p w14:paraId="13D547CF" w14:textId="1167D89E" w:rsidR="002154A1" w:rsidRPr="002154A1" w:rsidRDefault="002154A1" w:rsidP="002154A1">
      <w:pPr>
        <w:jc w:val="both"/>
        <w:rPr>
          <w:rFonts w:ascii="Times New Roman" w:hAnsi="Times New Roman" w:cs="Times New Roman"/>
          <w:sz w:val="24"/>
          <w:szCs w:val="24"/>
        </w:rPr>
      </w:pPr>
      <w:r w:rsidRPr="002154A1">
        <w:rPr>
          <w:rFonts w:ascii="Times New Roman" w:hAnsi="Times New Roman" w:cs="Times New Roman"/>
          <w:sz w:val="24"/>
          <w:szCs w:val="24"/>
        </w:rPr>
        <w:t>The newly published division of the revenue bill allocated 316 billion as equitable share</w:t>
      </w:r>
      <w:r w:rsidR="00E66587">
        <w:rPr>
          <w:rFonts w:ascii="Times New Roman" w:hAnsi="Times New Roman" w:cs="Times New Roman"/>
          <w:sz w:val="24"/>
          <w:szCs w:val="24"/>
        </w:rPr>
        <w:t xml:space="preserve"> to all counties in which Meru C</w:t>
      </w:r>
      <w:r w:rsidRPr="002154A1">
        <w:rPr>
          <w:rFonts w:ascii="Times New Roman" w:hAnsi="Times New Roman" w:cs="Times New Roman"/>
          <w:sz w:val="24"/>
          <w:szCs w:val="24"/>
        </w:rPr>
        <w:t xml:space="preserve">ounty was allocated </w:t>
      </w:r>
      <w:r w:rsidR="00914039">
        <w:rPr>
          <w:rFonts w:ascii="Times New Roman" w:hAnsi="Times New Roman" w:cs="Times New Roman"/>
          <w:sz w:val="24"/>
          <w:szCs w:val="24"/>
        </w:rPr>
        <w:t>Kshs</w:t>
      </w:r>
      <w:r w:rsidRPr="002154A1">
        <w:rPr>
          <w:rFonts w:ascii="Times New Roman" w:hAnsi="Times New Roman" w:cs="Times New Roman"/>
          <w:sz w:val="24"/>
          <w:szCs w:val="24"/>
        </w:rPr>
        <w:t>.8</w:t>
      </w:r>
      <w:r w:rsidR="00E66587" w:rsidRPr="002154A1">
        <w:rPr>
          <w:rFonts w:ascii="Times New Roman" w:hAnsi="Times New Roman" w:cs="Times New Roman"/>
          <w:sz w:val="24"/>
          <w:szCs w:val="24"/>
        </w:rPr>
        <w:t>, 039,100,000</w:t>
      </w:r>
      <w:r w:rsidRPr="002154A1">
        <w:rPr>
          <w:rFonts w:ascii="Times New Roman" w:hAnsi="Times New Roman" w:cs="Times New Roman"/>
          <w:sz w:val="24"/>
          <w:szCs w:val="24"/>
        </w:rPr>
        <w:t xml:space="preserve">. In light of the above the FY 2019/20 budget will be adjusted to accommodate the increase of </w:t>
      </w:r>
      <w:r w:rsidR="00914039">
        <w:rPr>
          <w:rFonts w:ascii="Times New Roman" w:hAnsi="Times New Roman" w:cs="Times New Roman"/>
          <w:sz w:val="24"/>
          <w:szCs w:val="24"/>
        </w:rPr>
        <w:t>Kshs</w:t>
      </w:r>
      <w:r w:rsidRPr="002154A1">
        <w:rPr>
          <w:rFonts w:ascii="Times New Roman" w:hAnsi="Times New Roman" w:cs="Times New Roman"/>
          <w:sz w:val="24"/>
          <w:szCs w:val="24"/>
        </w:rPr>
        <w:t>.1</w:t>
      </w:r>
      <w:r w:rsidR="008956E9">
        <w:rPr>
          <w:rFonts w:ascii="Times New Roman" w:hAnsi="Times New Roman" w:cs="Times New Roman"/>
          <w:sz w:val="24"/>
          <w:szCs w:val="24"/>
        </w:rPr>
        <w:t>65</w:t>
      </w:r>
      <w:r w:rsidR="00A168C4">
        <w:rPr>
          <w:rFonts w:ascii="Times New Roman" w:hAnsi="Times New Roman" w:cs="Times New Roman"/>
          <w:sz w:val="24"/>
          <w:szCs w:val="24"/>
        </w:rPr>
        <w:t>, 100,000</w:t>
      </w:r>
      <w:r w:rsidR="008956E9">
        <w:rPr>
          <w:rFonts w:ascii="Times New Roman" w:hAnsi="Times New Roman" w:cs="Times New Roman"/>
          <w:sz w:val="24"/>
          <w:szCs w:val="24"/>
        </w:rPr>
        <w:t xml:space="preserve"> in equitable share. </w:t>
      </w:r>
    </w:p>
    <w:p w14:paraId="592430E5" w14:textId="55B5701F" w:rsidR="002154A1" w:rsidRPr="002154A1" w:rsidRDefault="002154A1" w:rsidP="002154A1">
      <w:pPr>
        <w:jc w:val="both"/>
        <w:rPr>
          <w:rFonts w:ascii="Times New Roman" w:hAnsi="Times New Roman" w:cs="Times New Roman"/>
          <w:sz w:val="24"/>
          <w:szCs w:val="24"/>
        </w:rPr>
      </w:pPr>
      <w:r w:rsidRPr="002154A1">
        <w:rPr>
          <w:rFonts w:ascii="Times New Roman" w:hAnsi="Times New Roman" w:cs="Times New Roman"/>
          <w:sz w:val="24"/>
          <w:szCs w:val="24"/>
        </w:rPr>
        <w:t xml:space="preserve">Expenditure pressures, especially recurrent expenditures, pose a fiscal risk. Wage bill pressures and lean operations budget may limit </w:t>
      </w:r>
      <w:r w:rsidR="00B968BB">
        <w:rPr>
          <w:rFonts w:ascii="Times New Roman" w:hAnsi="Times New Roman" w:cs="Times New Roman"/>
          <w:sz w:val="24"/>
          <w:szCs w:val="24"/>
        </w:rPr>
        <w:t>implementation of planned activities across the in various departments and therefore a</w:t>
      </w:r>
      <w:r w:rsidRPr="002154A1">
        <w:rPr>
          <w:rFonts w:ascii="Times New Roman" w:hAnsi="Times New Roman" w:cs="Times New Roman"/>
          <w:sz w:val="24"/>
          <w:szCs w:val="24"/>
        </w:rPr>
        <w:t xml:space="preserve">usterity measures will be pursued by the County Government to curb wastages and focus expenditure on priority areas. </w:t>
      </w:r>
    </w:p>
    <w:p w14:paraId="5C749FAD" w14:textId="086C7AD1" w:rsidR="002154A1" w:rsidRPr="008956E9" w:rsidRDefault="008956E9" w:rsidP="008956E9">
      <w:pPr>
        <w:pStyle w:val="Heading2"/>
        <w:rPr>
          <w:rFonts w:ascii="Times New Roman" w:hAnsi="Times New Roman" w:cs="Times New Roman"/>
          <w:color w:val="auto"/>
        </w:rPr>
      </w:pPr>
      <w:bookmarkStart w:id="74" w:name="_Toc23266843"/>
      <w:r>
        <w:rPr>
          <w:rFonts w:ascii="Times New Roman" w:hAnsi="Times New Roman" w:cs="Times New Roman"/>
          <w:color w:val="auto"/>
        </w:rPr>
        <w:t xml:space="preserve">4.2 </w:t>
      </w:r>
      <w:r w:rsidR="002154A1" w:rsidRPr="008956E9">
        <w:rPr>
          <w:rFonts w:ascii="Times New Roman" w:hAnsi="Times New Roman" w:cs="Times New Roman"/>
          <w:color w:val="auto"/>
        </w:rPr>
        <w:t>Medium Term Expenditure Framework</w:t>
      </w:r>
      <w:bookmarkEnd w:id="74"/>
      <w:r w:rsidR="002154A1" w:rsidRPr="008956E9">
        <w:rPr>
          <w:rFonts w:ascii="Times New Roman" w:hAnsi="Times New Roman" w:cs="Times New Roman"/>
          <w:color w:val="auto"/>
        </w:rPr>
        <w:t xml:space="preserve"> </w:t>
      </w:r>
    </w:p>
    <w:p w14:paraId="011E8B90" w14:textId="77A29A40" w:rsidR="002154A1" w:rsidRPr="002154A1" w:rsidRDefault="002154A1" w:rsidP="002154A1">
      <w:pPr>
        <w:jc w:val="both"/>
        <w:rPr>
          <w:rFonts w:ascii="Times New Roman" w:hAnsi="Times New Roman" w:cs="Times New Roman"/>
          <w:sz w:val="24"/>
          <w:szCs w:val="24"/>
        </w:rPr>
      </w:pPr>
      <w:r w:rsidRPr="002154A1">
        <w:rPr>
          <w:rFonts w:ascii="Times New Roman" w:hAnsi="Times New Roman" w:cs="Times New Roman"/>
          <w:sz w:val="24"/>
          <w:szCs w:val="24"/>
        </w:rPr>
        <w:t>Allocation and utilization of resources in the medium term will be guided by the priorities outlined in CIDP 2018-2022, ADP (Annual Development Plan)</w:t>
      </w:r>
      <w:r w:rsidR="002743E4">
        <w:rPr>
          <w:rFonts w:ascii="Times New Roman" w:hAnsi="Times New Roman" w:cs="Times New Roman"/>
          <w:sz w:val="24"/>
          <w:szCs w:val="24"/>
        </w:rPr>
        <w:t>, County Vision 2040</w:t>
      </w:r>
      <w:r w:rsidRPr="002154A1">
        <w:rPr>
          <w:rFonts w:ascii="Times New Roman" w:hAnsi="Times New Roman" w:cs="Times New Roman"/>
          <w:sz w:val="24"/>
          <w:szCs w:val="24"/>
        </w:rPr>
        <w:t xml:space="preserve"> and other county plans; and in accordance with section 107 of the PFM Act 2012. The Government will continue with its policy of expenditure prioritization with a view to achieving its mission of promoting Sustainable Development, Socio-economic Empowerment, Technological Innovations and Industrialization. Realization of these objectives will have implications in the budget ceilings to be provided in this Budget Review and Outlook Paper.</w:t>
      </w:r>
    </w:p>
    <w:p w14:paraId="0BDCD361" w14:textId="77777777" w:rsidR="002154A1" w:rsidRPr="002154A1" w:rsidRDefault="002154A1" w:rsidP="002154A1">
      <w:pPr>
        <w:jc w:val="both"/>
        <w:rPr>
          <w:rFonts w:ascii="Times New Roman" w:hAnsi="Times New Roman" w:cs="Times New Roman"/>
          <w:sz w:val="24"/>
          <w:szCs w:val="24"/>
        </w:rPr>
      </w:pPr>
      <w:r w:rsidRPr="002154A1">
        <w:rPr>
          <w:rFonts w:ascii="Times New Roman" w:hAnsi="Times New Roman" w:cs="Times New Roman"/>
          <w:sz w:val="24"/>
          <w:szCs w:val="24"/>
        </w:rPr>
        <w:t>The following criteria will serve as a guide for allocating resources:</w:t>
      </w:r>
    </w:p>
    <w:p w14:paraId="31A5EF55" w14:textId="3790E575" w:rsidR="002154A1" w:rsidRPr="002154A1" w:rsidRDefault="002154A1" w:rsidP="002154A1">
      <w:pPr>
        <w:numPr>
          <w:ilvl w:val="0"/>
          <w:numId w:val="20"/>
        </w:numPr>
        <w:jc w:val="both"/>
        <w:rPr>
          <w:rFonts w:ascii="Times New Roman" w:hAnsi="Times New Roman" w:cs="Times New Roman"/>
          <w:sz w:val="24"/>
          <w:szCs w:val="24"/>
        </w:rPr>
      </w:pPr>
      <w:r w:rsidRPr="002154A1">
        <w:rPr>
          <w:rFonts w:ascii="Times New Roman" w:hAnsi="Times New Roman" w:cs="Times New Roman"/>
          <w:sz w:val="24"/>
          <w:szCs w:val="24"/>
        </w:rPr>
        <w:t>Alignment of Programmes with the priorities as set out in the County Integrated Development Plan (CIDP), Annul Development Plan (ADP)</w:t>
      </w:r>
      <w:r w:rsidR="002743E4">
        <w:rPr>
          <w:rFonts w:ascii="Times New Roman" w:hAnsi="Times New Roman" w:cs="Times New Roman"/>
          <w:sz w:val="24"/>
          <w:szCs w:val="24"/>
        </w:rPr>
        <w:t xml:space="preserve"> and County Vision 2040</w:t>
      </w:r>
      <w:r w:rsidRPr="002154A1">
        <w:rPr>
          <w:rFonts w:ascii="Times New Roman" w:hAnsi="Times New Roman" w:cs="Times New Roman"/>
          <w:sz w:val="24"/>
          <w:szCs w:val="24"/>
        </w:rPr>
        <w:t>;</w:t>
      </w:r>
    </w:p>
    <w:p w14:paraId="45DB4C9C" w14:textId="77777777" w:rsidR="002154A1" w:rsidRPr="002154A1" w:rsidRDefault="002154A1" w:rsidP="002154A1">
      <w:pPr>
        <w:numPr>
          <w:ilvl w:val="0"/>
          <w:numId w:val="20"/>
        </w:numPr>
        <w:jc w:val="both"/>
        <w:rPr>
          <w:rFonts w:ascii="Times New Roman" w:hAnsi="Times New Roman" w:cs="Times New Roman"/>
          <w:sz w:val="24"/>
          <w:szCs w:val="24"/>
        </w:rPr>
      </w:pPr>
      <w:r w:rsidRPr="002154A1">
        <w:rPr>
          <w:rFonts w:ascii="Times New Roman" w:hAnsi="Times New Roman" w:cs="Times New Roman"/>
          <w:sz w:val="24"/>
          <w:szCs w:val="24"/>
        </w:rPr>
        <w:t>Degree to which a programme addresses job creation and poverty alleviation, gender balance, people with disability and other marginalized groups;</w:t>
      </w:r>
    </w:p>
    <w:p w14:paraId="0916CBC3" w14:textId="77777777" w:rsidR="002154A1" w:rsidRPr="002154A1" w:rsidRDefault="002154A1" w:rsidP="002154A1">
      <w:pPr>
        <w:numPr>
          <w:ilvl w:val="0"/>
          <w:numId w:val="20"/>
        </w:numPr>
        <w:jc w:val="both"/>
        <w:rPr>
          <w:rFonts w:ascii="Times New Roman" w:hAnsi="Times New Roman" w:cs="Times New Roman"/>
          <w:sz w:val="24"/>
          <w:szCs w:val="24"/>
        </w:rPr>
      </w:pPr>
      <w:r w:rsidRPr="002154A1">
        <w:rPr>
          <w:rFonts w:ascii="Times New Roman" w:hAnsi="Times New Roman" w:cs="Times New Roman"/>
          <w:sz w:val="24"/>
          <w:szCs w:val="24"/>
        </w:rPr>
        <w:lastRenderedPageBreak/>
        <w:t>Degree to which the programme is addressing the core mandate of the Department or Agency (DAs)</w:t>
      </w:r>
    </w:p>
    <w:p w14:paraId="4A93B3DB" w14:textId="77777777" w:rsidR="002154A1" w:rsidRPr="002154A1" w:rsidRDefault="002154A1" w:rsidP="002154A1">
      <w:pPr>
        <w:numPr>
          <w:ilvl w:val="0"/>
          <w:numId w:val="20"/>
        </w:numPr>
        <w:jc w:val="both"/>
        <w:rPr>
          <w:rFonts w:ascii="Times New Roman" w:hAnsi="Times New Roman" w:cs="Times New Roman"/>
          <w:sz w:val="24"/>
          <w:szCs w:val="24"/>
        </w:rPr>
      </w:pPr>
      <w:r w:rsidRPr="002154A1">
        <w:rPr>
          <w:rFonts w:ascii="Times New Roman" w:hAnsi="Times New Roman" w:cs="Times New Roman"/>
          <w:sz w:val="24"/>
          <w:szCs w:val="24"/>
        </w:rPr>
        <w:t>Expected outputs and outcomes from a programme; and</w:t>
      </w:r>
    </w:p>
    <w:p w14:paraId="1F67C55B" w14:textId="77777777" w:rsidR="002154A1" w:rsidRPr="002154A1" w:rsidRDefault="002154A1" w:rsidP="002154A1">
      <w:pPr>
        <w:numPr>
          <w:ilvl w:val="0"/>
          <w:numId w:val="20"/>
        </w:numPr>
        <w:jc w:val="both"/>
        <w:rPr>
          <w:rFonts w:ascii="Times New Roman" w:hAnsi="Times New Roman" w:cs="Times New Roman"/>
          <w:sz w:val="24"/>
          <w:szCs w:val="24"/>
        </w:rPr>
      </w:pPr>
      <w:r w:rsidRPr="002154A1">
        <w:rPr>
          <w:rFonts w:ascii="Times New Roman" w:hAnsi="Times New Roman" w:cs="Times New Roman"/>
          <w:sz w:val="24"/>
          <w:szCs w:val="24"/>
        </w:rPr>
        <w:t>Cost effectiveness and sustainability of the programme.</w:t>
      </w:r>
    </w:p>
    <w:p w14:paraId="6B0B0401" w14:textId="77777777" w:rsidR="002154A1" w:rsidRPr="002154A1" w:rsidRDefault="002154A1" w:rsidP="002154A1">
      <w:pPr>
        <w:jc w:val="both"/>
        <w:rPr>
          <w:rFonts w:ascii="Times New Roman" w:hAnsi="Times New Roman" w:cs="Times New Roman"/>
          <w:sz w:val="24"/>
          <w:szCs w:val="24"/>
        </w:rPr>
      </w:pPr>
      <w:r w:rsidRPr="002154A1">
        <w:rPr>
          <w:rFonts w:ascii="Times New Roman" w:hAnsi="Times New Roman" w:cs="Times New Roman"/>
          <w:sz w:val="24"/>
          <w:szCs w:val="24"/>
        </w:rPr>
        <w:t>The government will continue to focus resources towards implementation of sector projects which lead to great enhancement of the County economy. Some of the specific areas of intervention will include;</w:t>
      </w:r>
    </w:p>
    <w:p w14:paraId="5283720D" w14:textId="77777777" w:rsidR="002743E4" w:rsidRPr="002154A1" w:rsidRDefault="002743E4" w:rsidP="002743E4">
      <w:pPr>
        <w:numPr>
          <w:ilvl w:val="0"/>
          <w:numId w:val="21"/>
        </w:numPr>
        <w:jc w:val="both"/>
        <w:rPr>
          <w:rFonts w:ascii="Times New Roman" w:hAnsi="Times New Roman" w:cs="Times New Roman"/>
          <w:sz w:val="24"/>
          <w:szCs w:val="24"/>
        </w:rPr>
      </w:pPr>
      <w:r w:rsidRPr="002154A1">
        <w:rPr>
          <w:rFonts w:ascii="Times New Roman" w:hAnsi="Times New Roman" w:cs="Times New Roman"/>
          <w:sz w:val="24"/>
          <w:szCs w:val="24"/>
        </w:rPr>
        <w:t>promotion of youth talents and empowerment,</w:t>
      </w:r>
    </w:p>
    <w:p w14:paraId="17BB3870" w14:textId="77777777" w:rsidR="002743E4" w:rsidRPr="002154A1" w:rsidRDefault="002743E4" w:rsidP="002743E4">
      <w:pPr>
        <w:numPr>
          <w:ilvl w:val="0"/>
          <w:numId w:val="21"/>
        </w:numPr>
        <w:jc w:val="both"/>
        <w:rPr>
          <w:rFonts w:ascii="Times New Roman" w:hAnsi="Times New Roman" w:cs="Times New Roman"/>
          <w:sz w:val="24"/>
          <w:szCs w:val="24"/>
        </w:rPr>
      </w:pPr>
      <w:r w:rsidRPr="002154A1">
        <w:rPr>
          <w:rFonts w:ascii="Times New Roman" w:hAnsi="Times New Roman" w:cs="Times New Roman"/>
          <w:sz w:val="24"/>
          <w:szCs w:val="24"/>
        </w:rPr>
        <w:t xml:space="preserve">empowerment of women, </w:t>
      </w:r>
    </w:p>
    <w:p w14:paraId="20A5934D" w14:textId="77777777" w:rsidR="002154A1" w:rsidRPr="002154A1" w:rsidRDefault="002154A1" w:rsidP="002154A1">
      <w:pPr>
        <w:numPr>
          <w:ilvl w:val="0"/>
          <w:numId w:val="21"/>
        </w:numPr>
        <w:jc w:val="both"/>
        <w:rPr>
          <w:rFonts w:ascii="Times New Roman" w:hAnsi="Times New Roman" w:cs="Times New Roman"/>
          <w:sz w:val="24"/>
          <w:szCs w:val="24"/>
        </w:rPr>
      </w:pPr>
      <w:r w:rsidRPr="002154A1">
        <w:rPr>
          <w:rFonts w:ascii="Times New Roman" w:hAnsi="Times New Roman" w:cs="Times New Roman"/>
          <w:sz w:val="24"/>
          <w:szCs w:val="24"/>
        </w:rPr>
        <w:t>improved food security and promotion of commercial agriculture,</w:t>
      </w:r>
    </w:p>
    <w:p w14:paraId="0B10AAE5" w14:textId="77777777" w:rsidR="002154A1" w:rsidRPr="002154A1" w:rsidRDefault="002154A1" w:rsidP="002154A1">
      <w:pPr>
        <w:numPr>
          <w:ilvl w:val="0"/>
          <w:numId w:val="21"/>
        </w:numPr>
        <w:jc w:val="both"/>
        <w:rPr>
          <w:rFonts w:ascii="Times New Roman" w:hAnsi="Times New Roman" w:cs="Times New Roman"/>
          <w:sz w:val="24"/>
          <w:szCs w:val="24"/>
        </w:rPr>
      </w:pPr>
      <w:r w:rsidRPr="002154A1">
        <w:rPr>
          <w:rFonts w:ascii="Times New Roman" w:hAnsi="Times New Roman" w:cs="Times New Roman"/>
          <w:sz w:val="24"/>
          <w:szCs w:val="24"/>
        </w:rPr>
        <w:t>improved household access to adequate clean water and sanitation,</w:t>
      </w:r>
    </w:p>
    <w:p w14:paraId="1978D654" w14:textId="77777777" w:rsidR="002154A1" w:rsidRPr="002154A1" w:rsidRDefault="002154A1" w:rsidP="002154A1">
      <w:pPr>
        <w:numPr>
          <w:ilvl w:val="0"/>
          <w:numId w:val="21"/>
        </w:numPr>
        <w:jc w:val="both"/>
        <w:rPr>
          <w:rFonts w:ascii="Times New Roman" w:hAnsi="Times New Roman" w:cs="Times New Roman"/>
          <w:sz w:val="24"/>
          <w:szCs w:val="24"/>
        </w:rPr>
      </w:pPr>
      <w:r w:rsidRPr="002154A1">
        <w:rPr>
          <w:rFonts w:ascii="Times New Roman" w:hAnsi="Times New Roman" w:cs="Times New Roman"/>
          <w:sz w:val="24"/>
          <w:szCs w:val="24"/>
        </w:rPr>
        <w:t>provision of quality, affordable and accessible Healthcare,</w:t>
      </w:r>
    </w:p>
    <w:p w14:paraId="0470E0C1" w14:textId="77777777" w:rsidR="002743E4" w:rsidRDefault="002154A1" w:rsidP="002154A1">
      <w:pPr>
        <w:numPr>
          <w:ilvl w:val="0"/>
          <w:numId w:val="21"/>
        </w:numPr>
        <w:jc w:val="both"/>
        <w:rPr>
          <w:rFonts w:ascii="Times New Roman" w:hAnsi="Times New Roman" w:cs="Times New Roman"/>
          <w:sz w:val="24"/>
          <w:szCs w:val="24"/>
        </w:rPr>
      </w:pPr>
      <w:r w:rsidRPr="002154A1">
        <w:rPr>
          <w:rFonts w:ascii="Times New Roman" w:hAnsi="Times New Roman" w:cs="Times New Roman"/>
          <w:sz w:val="24"/>
          <w:szCs w:val="24"/>
        </w:rPr>
        <w:t xml:space="preserve">cooperatives and tourism development </w:t>
      </w:r>
    </w:p>
    <w:p w14:paraId="4BC324C3" w14:textId="41F64A80" w:rsidR="002154A1" w:rsidRPr="002154A1" w:rsidRDefault="002154A1" w:rsidP="002154A1">
      <w:pPr>
        <w:numPr>
          <w:ilvl w:val="0"/>
          <w:numId w:val="21"/>
        </w:numPr>
        <w:jc w:val="both"/>
        <w:rPr>
          <w:rFonts w:ascii="Times New Roman" w:hAnsi="Times New Roman" w:cs="Times New Roman"/>
          <w:sz w:val="24"/>
          <w:szCs w:val="24"/>
        </w:rPr>
      </w:pPr>
      <w:r w:rsidRPr="002154A1">
        <w:rPr>
          <w:rFonts w:ascii="Times New Roman" w:hAnsi="Times New Roman" w:cs="Times New Roman"/>
          <w:sz w:val="24"/>
          <w:szCs w:val="24"/>
        </w:rPr>
        <w:t>improved access to basic education and vocational training,</w:t>
      </w:r>
    </w:p>
    <w:p w14:paraId="18663B49" w14:textId="77777777" w:rsidR="002154A1" w:rsidRPr="002154A1" w:rsidRDefault="002154A1" w:rsidP="002154A1">
      <w:pPr>
        <w:numPr>
          <w:ilvl w:val="0"/>
          <w:numId w:val="21"/>
        </w:numPr>
        <w:jc w:val="both"/>
        <w:rPr>
          <w:rFonts w:ascii="Times New Roman" w:hAnsi="Times New Roman" w:cs="Times New Roman"/>
          <w:sz w:val="24"/>
          <w:szCs w:val="24"/>
        </w:rPr>
      </w:pPr>
      <w:r w:rsidRPr="002154A1">
        <w:rPr>
          <w:rFonts w:ascii="Times New Roman" w:hAnsi="Times New Roman" w:cs="Times New Roman"/>
          <w:sz w:val="24"/>
          <w:szCs w:val="24"/>
        </w:rPr>
        <w:t xml:space="preserve">enhancement of transport to improve access to markets and essential services, </w:t>
      </w:r>
    </w:p>
    <w:p w14:paraId="32C814C3" w14:textId="77777777" w:rsidR="002154A1" w:rsidRPr="002154A1" w:rsidRDefault="002154A1" w:rsidP="002154A1">
      <w:pPr>
        <w:numPr>
          <w:ilvl w:val="0"/>
          <w:numId w:val="21"/>
        </w:numPr>
        <w:jc w:val="both"/>
        <w:rPr>
          <w:rFonts w:ascii="Times New Roman" w:hAnsi="Times New Roman" w:cs="Times New Roman"/>
          <w:sz w:val="24"/>
          <w:szCs w:val="24"/>
        </w:rPr>
      </w:pPr>
      <w:r w:rsidRPr="002154A1">
        <w:rPr>
          <w:rFonts w:ascii="Times New Roman" w:hAnsi="Times New Roman" w:cs="Times New Roman"/>
          <w:sz w:val="24"/>
          <w:szCs w:val="24"/>
        </w:rPr>
        <w:t xml:space="preserve">uplifting of Persons Living with Disabilities, and </w:t>
      </w:r>
    </w:p>
    <w:p w14:paraId="40D13F3A" w14:textId="774A5B31" w:rsidR="002154A1" w:rsidRPr="002154A1" w:rsidRDefault="00577BFF" w:rsidP="002154A1">
      <w:pPr>
        <w:numPr>
          <w:ilvl w:val="0"/>
          <w:numId w:val="21"/>
        </w:numPr>
        <w:jc w:val="both"/>
        <w:rPr>
          <w:rFonts w:ascii="Times New Roman" w:hAnsi="Times New Roman" w:cs="Times New Roman"/>
          <w:sz w:val="24"/>
          <w:szCs w:val="24"/>
        </w:rPr>
      </w:pPr>
      <w:r w:rsidRPr="002154A1">
        <w:rPr>
          <w:rFonts w:ascii="Times New Roman" w:hAnsi="Times New Roman" w:cs="Times New Roman"/>
          <w:sz w:val="24"/>
          <w:szCs w:val="24"/>
        </w:rPr>
        <w:t>Improved</w:t>
      </w:r>
      <w:r w:rsidR="002154A1" w:rsidRPr="002154A1">
        <w:rPr>
          <w:rFonts w:ascii="Times New Roman" w:hAnsi="Times New Roman" w:cs="Times New Roman"/>
          <w:sz w:val="24"/>
          <w:szCs w:val="24"/>
        </w:rPr>
        <w:t xml:space="preserve"> environmental conservation and natural resources for sustainable development. </w:t>
      </w:r>
    </w:p>
    <w:p w14:paraId="36736B5D" w14:textId="59F9D9EA" w:rsidR="002154A1" w:rsidRPr="008956E9" w:rsidRDefault="002154A1" w:rsidP="008956E9">
      <w:pPr>
        <w:pStyle w:val="Heading2"/>
        <w:rPr>
          <w:rFonts w:ascii="Times New Roman" w:hAnsi="Times New Roman" w:cs="Times New Roman"/>
          <w:color w:val="auto"/>
          <w:sz w:val="24"/>
          <w:szCs w:val="24"/>
        </w:rPr>
      </w:pPr>
      <w:bookmarkStart w:id="75" w:name="_Toc23266844"/>
      <w:r w:rsidRPr="008956E9">
        <w:rPr>
          <w:rFonts w:ascii="Times New Roman" w:hAnsi="Times New Roman" w:cs="Times New Roman"/>
          <w:color w:val="auto"/>
          <w:sz w:val="24"/>
          <w:szCs w:val="24"/>
        </w:rPr>
        <w:t xml:space="preserve">4.3 </w:t>
      </w:r>
      <w:r w:rsidR="008956E9" w:rsidRPr="008956E9">
        <w:rPr>
          <w:rFonts w:ascii="Times New Roman" w:hAnsi="Times New Roman" w:cs="Times New Roman"/>
          <w:color w:val="auto"/>
          <w:sz w:val="24"/>
          <w:szCs w:val="24"/>
        </w:rPr>
        <w:t>Proposed FY 2020/21 Budget Framework</w:t>
      </w:r>
      <w:bookmarkEnd w:id="75"/>
    </w:p>
    <w:p w14:paraId="58363356" w14:textId="77777777" w:rsidR="007A26B0" w:rsidRDefault="002154A1" w:rsidP="002154A1">
      <w:pPr>
        <w:jc w:val="both"/>
        <w:rPr>
          <w:rFonts w:ascii="Times New Roman" w:hAnsi="Times New Roman" w:cs="Times New Roman"/>
          <w:sz w:val="24"/>
          <w:szCs w:val="24"/>
        </w:rPr>
      </w:pPr>
      <w:r w:rsidRPr="002154A1">
        <w:rPr>
          <w:rFonts w:ascii="Times New Roman" w:hAnsi="Times New Roman" w:cs="Times New Roman"/>
          <w:sz w:val="24"/>
          <w:szCs w:val="24"/>
        </w:rPr>
        <w:t>The FY 2020/21 budget framework builds up on the fiscal consolidation agenda, which the Government has been implementing to contain growth of expenditure and raise revenues. Some of the policy measures that the Government has been implementing include adoption of the zero-based budgeting process, focusing expenditure on high priority and impact areas and curbing wastages on operation expenditure. Further, with the fiscal consolidation strategy, departments and corporations are required to adopt the culture of doing more with less that is available with a view to promote sustainability and affordability.</w:t>
      </w:r>
    </w:p>
    <w:p w14:paraId="04EA99B8" w14:textId="6381CCDA" w:rsidR="002154A1" w:rsidRPr="002154A1" w:rsidRDefault="007A26B0" w:rsidP="002154A1">
      <w:pPr>
        <w:jc w:val="both"/>
        <w:rPr>
          <w:rFonts w:ascii="Times New Roman" w:hAnsi="Times New Roman" w:cs="Times New Roman"/>
          <w:sz w:val="24"/>
          <w:szCs w:val="24"/>
        </w:rPr>
      </w:pPr>
      <w:r>
        <w:rPr>
          <w:rFonts w:ascii="Times New Roman" w:hAnsi="Times New Roman" w:cs="Times New Roman"/>
          <w:sz w:val="24"/>
          <w:szCs w:val="24"/>
        </w:rPr>
        <w:t>More so, in the next Financial Year County executive intends to clear all pending bills</w:t>
      </w:r>
      <w:r w:rsidR="002154A1" w:rsidRPr="002154A1">
        <w:rPr>
          <w:rFonts w:ascii="Times New Roman" w:hAnsi="Times New Roman" w:cs="Times New Roman"/>
          <w:sz w:val="24"/>
          <w:szCs w:val="24"/>
        </w:rPr>
        <w:t xml:space="preserve"> </w:t>
      </w:r>
      <w:r>
        <w:rPr>
          <w:rFonts w:ascii="Times New Roman" w:hAnsi="Times New Roman" w:cs="Times New Roman"/>
          <w:sz w:val="24"/>
          <w:szCs w:val="24"/>
        </w:rPr>
        <w:t>accrued in the past financial years. This will be achieved by reviewing and adjusting priorities for the FY2020/21 to accommodate projects which are already complete or on progress.</w:t>
      </w:r>
    </w:p>
    <w:p w14:paraId="3717CD89" w14:textId="77777777" w:rsidR="002154A1" w:rsidRPr="002154A1" w:rsidRDefault="002154A1" w:rsidP="002154A1">
      <w:pPr>
        <w:numPr>
          <w:ilvl w:val="0"/>
          <w:numId w:val="23"/>
        </w:numPr>
        <w:jc w:val="both"/>
        <w:rPr>
          <w:rFonts w:ascii="Times New Roman" w:hAnsi="Times New Roman" w:cs="Times New Roman"/>
          <w:b/>
          <w:sz w:val="24"/>
          <w:szCs w:val="24"/>
        </w:rPr>
      </w:pPr>
      <w:r w:rsidRPr="002154A1">
        <w:rPr>
          <w:rFonts w:ascii="Times New Roman" w:hAnsi="Times New Roman" w:cs="Times New Roman"/>
          <w:b/>
          <w:sz w:val="24"/>
          <w:szCs w:val="24"/>
        </w:rPr>
        <w:t>Revenue Projections</w:t>
      </w:r>
    </w:p>
    <w:p w14:paraId="2734C242" w14:textId="3C8BAEAF" w:rsidR="002154A1" w:rsidRPr="002154A1" w:rsidRDefault="002154A1" w:rsidP="002154A1">
      <w:pPr>
        <w:jc w:val="both"/>
        <w:rPr>
          <w:rFonts w:ascii="Times New Roman" w:hAnsi="Times New Roman" w:cs="Times New Roman"/>
          <w:sz w:val="24"/>
          <w:szCs w:val="24"/>
        </w:rPr>
      </w:pPr>
      <w:r w:rsidRPr="002154A1">
        <w:rPr>
          <w:rFonts w:ascii="Times New Roman" w:hAnsi="Times New Roman" w:cs="Times New Roman"/>
          <w:sz w:val="24"/>
          <w:szCs w:val="24"/>
        </w:rPr>
        <w:t xml:space="preserve">During the FY 2020/21 revenue from internally generated sources is expected to total to </w:t>
      </w:r>
      <w:r w:rsidR="00914039">
        <w:rPr>
          <w:rFonts w:ascii="Times New Roman" w:hAnsi="Times New Roman" w:cs="Times New Roman"/>
          <w:sz w:val="24"/>
          <w:szCs w:val="24"/>
        </w:rPr>
        <w:t>Kshs</w:t>
      </w:r>
      <w:r w:rsidR="008410A6">
        <w:rPr>
          <w:rFonts w:ascii="Times New Roman" w:hAnsi="Times New Roman" w:cs="Times New Roman"/>
          <w:sz w:val="24"/>
          <w:szCs w:val="24"/>
        </w:rPr>
        <w:t>. 705</w:t>
      </w:r>
      <w:r w:rsidR="00E66587">
        <w:rPr>
          <w:rFonts w:ascii="Times New Roman" w:hAnsi="Times New Roman" w:cs="Times New Roman"/>
          <w:sz w:val="24"/>
          <w:szCs w:val="24"/>
        </w:rPr>
        <w:t xml:space="preserve"> </w:t>
      </w:r>
      <w:r w:rsidR="00430C5B">
        <w:rPr>
          <w:rFonts w:ascii="Times New Roman" w:hAnsi="Times New Roman" w:cs="Times New Roman"/>
          <w:sz w:val="24"/>
          <w:szCs w:val="24"/>
        </w:rPr>
        <w:t>Million. Achievement of the projected target</w:t>
      </w:r>
      <w:r w:rsidRPr="002154A1">
        <w:rPr>
          <w:rFonts w:ascii="Times New Roman" w:hAnsi="Times New Roman" w:cs="Times New Roman"/>
          <w:sz w:val="24"/>
          <w:szCs w:val="24"/>
        </w:rPr>
        <w:t xml:space="preserve"> will be underpinned by continue</w:t>
      </w:r>
      <w:r w:rsidR="009409FA">
        <w:rPr>
          <w:rFonts w:ascii="Times New Roman" w:hAnsi="Times New Roman" w:cs="Times New Roman"/>
          <w:sz w:val="24"/>
          <w:szCs w:val="24"/>
        </w:rPr>
        <w:t>d</w:t>
      </w:r>
      <w:r w:rsidRPr="002154A1">
        <w:rPr>
          <w:rFonts w:ascii="Times New Roman" w:hAnsi="Times New Roman" w:cs="Times New Roman"/>
          <w:sz w:val="24"/>
          <w:szCs w:val="24"/>
        </w:rPr>
        <w:t xml:space="preserve"> enhancement of revenue collection, enforcement and sealing of loopholes</w:t>
      </w:r>
      <w:r w:rsidR="009409FA">
        <w:rPr>
          <w:rFonts w:ascii="Times New Roman" w:hAnsi="Times New Roman" w:cs="Times New Roman"/>
          <w:sz w:val="24"/>
          <w:szCs w:val="24"/>
        </w:rPr>
        <w:t xml:space="preserve"> among other </w:t>
      </w:r>
      <w:r w:rsidR="009409FA">
        <w:rPr>
          <w:rFonts w:ascii="Times New Roman" w:hAnsi="Times New Roman" w:cs="Times New Roman"/>
          <w:sz w:val="24"/>
          <w:szCs w:val="24"/>
        </w:rPr>
        <w:lastRenderedPageBreak/>
        <w:t>initiatives</w:t>
      </w:r>
      <w:r w:rsidRPr="002154A1">
        <w:rPr>
          <w:rFonts w:ascii="Times New Roman" w:hAnsi="Times New Roman" w:cs="Times New Roman"/>
          <w:sz w:val="24"/>
          <w:szCs w:val="24"/>
        </w:rPr>
        <w:t>. In addition the Finance bill currently at the County Assembly pending approval will serve as a key too</w:t>
      </w:r>
      <w:r w:rsidR="009409FA">
        <w:rPr>
          <w:rFonts w:ascii="Times New Roman" w:hAnsi="Times New Roman" w:cs="Times New Roman"/>
          <w:sz w:val="24"/>
          <w:szCs w:val="24"/>
        </w:rPr>
        <w:t>l in expanding revenue base. A</w:t>
      </w:r>
      <w:r w:rsidRPr="002154A1">
        <w:rPr>
          <w:rFonts w:ascii="Times New Roman" w:hAnsi="Times New Roman" w:cs="Times New Roman"/>
          <w:sz w:val="24"/>
          <w:szCs w:val="24"/>
        </w:rPr>
        <w:t>ppropriation in aid (A.I.A)</w:t>
      </w:r>
      <w:r w:rsidR="009409FA">
        <w:rPr>
          <w:rFonts w:ascii="Times New Roman" w:hAnsi="Times New Roman" w:cs="Times New Roman"/>
          <w:sz w:val="24"/>
          <w:szCs w:val="24"/>
        </w:rPr>
        <w:t>-Hospital F.I.F</w:t>
      </w:r>
      <w:r w:rsidRPr="002154A1">
        <w:rPr>
          <w:rFonts w:ascii="Times New Roman" w:hAnsi="Times New Roman" w:cs="Times New Roman"/>
          <w:sz w:val="24"/>
          <w:szCs w:val="24"/>
        </w:rPr>
        <w:t xml:space="preserve"> is expected to inc</w:t>
      </w:r>
      <w:r w:rsidR="002E6DE5">
        <w:rPr>
          <w:rFonts w:ascii="Times New Roman" w:hAnsi="Times New Roman" w:cs="Times New Roman"/>
          <w:sz w:val="24"/>
          <w:szCs w:val="24"/>
        </w:rPr>
        <w:t>rease to 200 million up from 187</w:t>
      </w:r>
      <w:r w:rsidRPr="002154A1">
        <w:rPr>
          <w:rFonts w:ascii="Times New Roman" w:hAnsi="Times New Roman" w:cs="Times New Roman"/>
          <w:sz w:val="24"/>
          <w:szCs w:val="24"/>
        </w:rPr>
        <w:t xml:space="preserve"> million collected during the FY 2018/19 whereas collection from Alcohol board is expected to increase by 8% to 60 million.</w:t>
      </w:r>
    </w:p>
    <w:p w14:paraId="2E0D2E60" w14:textId="0721D2D6" w:rsidR="002154A1" w:rsidRDefault="002154A1" w:rsidP="002154A1">
      <w:pPr>
        <w:jc w:val="both"/>
        <w:rPr>
          <w:rFonts w:ascii="Times New Roman" w:hAnsi="Times New Roman" w:cs="Times New Roman"/>
          <w:sz w:val="24"/>
          <w:szCs w:val="24"/>
        </w:rPr>
      </w:pPr>
      <w:r w:rsidRPr="002154A1">
        <w:rPr>
          <w:rFonts w:ascii="Times New Roman" w:hAnsi="Times New Roman" w:cs="Times New Roman"/>
          <w:sz w:val="24"/>
          <w:szCs w:val="24"/>
        </w:rPr>
        <w:t xml:space="preserve">Revenues from National government are projected at </w:t>
      </w:r>
      <w:r w:rsidR="00914039">
        <w:rPr>
          <w:rFonts w:ascii="Times New Roman" w:hAnsi="Times New Roman" w:cs="Times New Roman"/>
          <w:sz w:val="24"/>
          <w:szCs w:val="24"/>
        </w:rPr>
        <w:t>Kshs</w:t>
      </w:r>
      <w:r w:rsidR="000769D8">
        <w:rPr>
          <w:rFonts w:ascii="Times New Roman" w:hAnsi="Times New Roman" w:cs="Times New Roman"/>
          <w:sz w:val="24"/>
          <w:szCs w:val="24"/>
        </w:rPr>
        <w:t>. 9,471</w:t>
      </w:r>
      <w:r w:rsidRPr="002154A1">
        <w:rPr>
          <w:rFonts w:ascii="Times New Roman" w:hAnsi="Times New Roman" w:cs="Times New Roman"/>
          <w:sz w:val="24"/>
          <w:szCs w:val="24"/>
        </w:rPr>
        <w:t xml:space="preserve"> billion which includes; (</w:t>
      </w:r>
      <w:r w:rsidR="00914039">
        <w:rPr>
          <w:rFonts w:ascii="Times New Roman" w:hAnsi="Times New Roman" w:cs="Times New Roman"/>
          <w:sz w:val="24"/>
          <w:szCs w:val="24"/>
        </w:rPr>
        <w:t>Kshs</w:t>
      </w:r>
      <w:r w:rsidR="000769D8">
        <w:rPr>
          <w:rFonts w:ascii="Times New Roman" w:hAnsi="Times New Roman" w:cs="Times New Roman"/>
          <w:sz w:val="24"/>
          <w:szCs w:val="24"/>
        </w:rPr>
        <w:t>.7.939</w:t>
      </w:r>
      <w:r w:rsidRPr="002154A1">
        <w:rPr>
          <w:rFonts w:ascii="Times New Roman" w:hAnsi="Times New Roman" w:cs="Times New Roman"/>
          <w:sz w:val="24"/>
          <w:szCs w:val="24"/>
        </w:rPr>
        <w:t xml:space="preserve"> billion equitable Share), (</w:t>
      </w:r>
      <w:r w:rsidR="00914039">
        <w:rPr>
          <w:rFonts w:ascii="Times New Roman" w:hAnsi="Times New Roman" w:cs="Times New Roman"/>
          <w:sz w:val="24"/>
          <w:szCs w:val="24"/>
        </w:rPr>
        <w:t>Kshs</w:t>
      </w:r>
      <w:r w:rsidRPr="002154A1">
        <w:rPr>
          <w:rFonts w:ascii="Times New Roman" w:hAnsi="Times New Roman" w:cs="Times New Roman"/>
          <w:sz w:val="24"/>
          <w:szCs w:val="24"/>
        </w:rPr>
        <w:t>.731.7 million Conditional Grants from the National Government Revenue) and (</w:t>
      </w:r>
      <w:r w:rsidR="00914039">
        <w:rPr>
          <w:rFonts w:ascii="Times New Roman" w:hAnsi="Times New Roman" w:cs="Times New Roman"/>
          <w:sz w:val="24"/>
          <w:szCs w:val="24"/>
        </w:rPr>
        <w:t>Kshs</w:t>
      </w:r>
      <w:r w:rsidRPr="002154A1">
        <w:rPr>
          <w:rFonts w:ascii="Times New Roman" w:hAnsi="Times New Roman" w:cs="Times New Roman"/>
          <w:sz w:val="24"/>
          <w:szCs w:val="24"/>
        </w:rPr>
        <w:t>.800.999 Conditional allocations to County Governments from Loans and Grants from Development Partners).</w:t>
      </w:r>
    </w:p>
    <w:p w14:paraId="419C4EE7" w14:textId="4FEEDB1B" w:rsidR="008411AD" w:rsidRDefault="008411AD" w:rsidP="002154A1">
      <w:pPr>
        <w:jc w:val="both"/>
        <w:rPr>
          <w:rFonts w:ascii="Times New Roman" w:hAnsi="Times New Roman" w:cs="Times New Roman"/>
          <w:b/>
          <w:sz w:val="24"/>
          <w:szCs w:val="24"/>
        </w:rPr>
      </w:pPr>
      <w:r w:rsidRPr="008411AD">
        <w:rPr>
          <w:rFonts w:ascii="Times New Roman" w:hAnsi="Times New Roman" w:cs="Times New Roman"/>
          <w:b/>
          <w:sz w:val="24"/>
          <w:szCs w:val="24"/>
        </w:rPr>
        <w:t>Table 2.4 County Projected Revenues for the FY 2020/21</w:t>
      </w:r>
    </w:p>
    <w:tbl>
      <w:tblPr>
        <w:tblW w:w="5000" w:type="pct"/>
        <w:tblLook w:val="04A0" w:firstRow="1" w:lastRow="0" w:firstColumn="1" w:lastColumn="0" w:noHBand="0" w:noVBand="1"/>
      </w:tblPr>
      <w:tblGrid>
        <w:gridCol w:w="6463"/>
        <w:gridCol w:w="2554"/>
      </w:tblGrid>
      <w:tr w:rsidR="00980A44" w:rsidRPr="00980A44" w14:paraId="3B778D22" w14:textId="77777777" w:rsidTr="00980A44">
        <w:trPr>
          <w:trHeight w:val="330"/>
        </w:trPr>
        <w:tc>
          <w:tcPr>
            <w:tcW w:w="5000" w:type="pct"/>
            <w:gridSpan w:val="2"/>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37470AD6" w14:textId="77777777" w:rsidR="00980A44" w:rsidRPr="00980A44" w:rsidRDefault="00980A44" w:rsidP="00980A44">
            <w:pPr>
              <w:spacing w:after="0" w:line="240" w:lineRule="auto"/>
              <w:rPr>
                <w:rFonts w:ascii="Times New Roman" w:eastAsia="Times New Roman" w:hAnsi="Times New Roman" w:cs="Times New Roman"/>
                <w:b/>
                <w:bCs/>
                <w:color w:val="000000"/>
                <w:sz w:val="20"/>
                <w:szCs w:val="20"/>
              </w:rPr>
            </w:pPr>
            <w:r w:rsidRPr="00980A44">
              <w:rPr>
                <w:rFonts w:ascii="Times New Roman" w:eastAsia="Times New Roman" w:hAnsi="Times New Roman" w:cs="Times New Roman"/>
                <w:b/>
                <w:bCs/>
                <w:color w:val="000000"/>
                <w:sz w:val="20"/>
                <w:szCs w:val="20"/>
              </w:rPr>
              <w:t xml:space="preserve">REVENUE  PROJECTIONSS FOR FY 2020-21 </w:t>
            </w:r>
          </w:p>
        </w:tc>
      </w:tr>
      <w:tr w:rsidR="00980A44" w:rsidRPr="00980A44" w14:paraId="0024865F" w14:textId="77777777" w:rsidTr="00980A44">
        <w:trPr>
          <w:trHeight w:val="540"/>
        </w:trPr>
        <w:tc>
          <w:tcPr>
            <w:tcW w:w="3584" w:type="pct"/>
            <w:tcBorders>
              <w:top w:val="nil"/>
              <w:left w:val="single" w:sz="4" w:space="0" w:color="auto"/>
              <w:bottom w:val="single" w:sz="8" w:space="0" w:color="000000"/>
              <w:right w:val="single" w:sz="8" w:space="0" w:color="auto"/>
            </w:tcBorders>
            <w:shd w:val="clear" w:color="auto" w:fill="auto"/>
            <w:vAlign w:val="center"/>
            <w:hideMark/>
          </w:tcPr>
          <w:p w14:paraId="746E1F93" w14:textId="77777777" w:rsidR="00980A44" w:rsidRPr="00980A44" w:rsidRDefault="00980A44" w:rsidP="00980A44">
            <w:pPr>
              <w:spacing w:after="0" w:line="240" w:lineRule="auto"/>
              <w:rPr>
                <w:rFonts w:ascii="Times New Roman" w:eastAsia="Times New Roman" w:hAnsi="Times New Roman" w:cs="Times New Roman"/>
                <w:b/>
                <w:bCs/>
                <w:color w:val="000000"/>
                <w:sz w:val="20"/>
                <w:szCs w:val="20"/>
              </w:rPr>
            </w:pPr>
            <w:r w:rsidRPr="00980A44">
              <w:rPr>
                <w:rFonts w:ascii="Times New Roman" w:eastAsia="Times New Roman" w:hAnsi="Times New Roman" w:cs="Times New Roman"/>
                <w:b/>
                <w:bCs/>
                <w:color w:val="000000"/>
                <w:sz w:val="20"/>
                <w:szCs w:val="20"/>
              </w:rPr>
              <w:t>Revenue Stream</w:t>
            </w:r>
          </w:p>
        </w:tc>
        <w:tc>
          <w:tcPr>
            <w:tcW w:w="1416" w:type="pct"/>
            <w:tcBorders>
              <w:top w:val="nil"/>
              <w:left w:val="nil"/>
              <w:bottom w:val="single" w:sz="8" w:space="0" w:color="auto"/>
              <w:right w:val="single" w:sz="4" w:space="0" w:color="auto"/>
            </w:tcBorders>
            <w:shd w:val="clear" w:color="000000" w:fill="FFFFFF"/>
            <w:vAlign w:val="bottom"/>
            <w:hideMark/>
          </w:tcPr>
          <w:p w14:paraId="3FBE3C85" w14:textId="04EDF5A8" w:rsidR="00980A44" w:rsidRPr="00980A44" w:rsidRDefault="00980A44" w:rsidP="00980A44">
            <w:pPr>
              <w:spacing w:after="0" w:line="240" w:lineRule="auto"/>
              <w:jc w:val="center"/>
              <w:rPr>
                <w:rFonts w:ascii="Times New Roman" w:eastAsia="Times New Roman" w:hAnsi="Times New Roman" w:cs="Times New Roman"/>
                <w:b/>
                <w:bCs/>
                <w:color w:val="000000"/>
                <w:sz w:val="20"/>
                <w:szCs w:val="20"/>
              </w:rPr>
            </w:pPr>
            <w:r w:rsidRPr="00980A44">
              <w:rPr>
                <w:rFonts w:ascii="Times New Roman" w:eastAsia="Times New Roman" w:hAnsi="Times New Roman" w:cs="Times New Roman"/>
                <w:b/>
                <w:bCs/>
                <w:color w:val="000000"/>
                <w:sz w:val="20"/>
                <w:szCs w:val="20"/>
              </w:rPr>
              <w:t>PROPOSED  ESTIMATES</w:t>
            </w:r>
          </w:p>
        </w:tc>
      </w:tr>
      <w:tr w:rsidR="00980A44" w:rsidRPr="00980A44" w14:paraId="08C1C972" w14:textId="77777777" w:rsidTr="00980A44">
        <w:trPr>
          <w:trHeight w:val="330"/>
        </w:trPr>
        <w:tc>
          <w:tcPr>
            <w:tcW w:w="3584" w:type="pct"/>
            <w:tcBorders>
              <w:top w:val="nil"/>
              <w:left w:val="single" w:sz="4" w:space="0" w:color="auto"/>
              <w:bottom w:val="nil"/>
              <w:right w:val="single" w:sz="8" w:space="0" w:color="auto"/>
            </w:tcBorders>
            <w:shd w:val="clear" w:color="auto" w:fill="auto"/>
            <w:vAlign w:val="center"/>
            <w:hideMark/>
          </w:tcPr>
          <w:p w14:paraId="1443AC01" w14:textId="77777777" w:rsidR="00980A44" w:rsidRPr="00980A44" w:rsidRDefault="00980A44" w:rsidP="00980A44">
            <w:pPr>
              <w:spacing w:after="0" w:line="240" w:lineRule="auto"/>
              <w:rPr>
                <w:rFonts w:ascii="Times New Roman" w:eastAsia="Times New Roman" w:hAnsi="Times New Roman" w:cs="Times New Roman"/>
                <w:b/>
                <w:bCs/>
                <w:color w:val="000000"/>
                <w:sz w:val="20"/>
                <w:szCs w:val="20"/>
              </w:rPr>
            </w:pPr>
            <w:r w:rsidRPr="00980A44">
              <w:rPr>
                <w:rFonts w:ascii="Times New Roman" w:eastAsia="Times New Roman" w:hAnsi="Times New Roman" w:cs="Times New Roman"/>
                <w:b/>
                <w:bCs/>
                <w:color w:val="000000"/>
                <w:sz w:val="20"/>
                <w:szCs w:val="20"/>
              </w:rPr>
              <w:t> </w:t>
            </w:r>
          </w:p>
        </w:tc>
        <w:tc>
          <w:tcPr>
            <w:tcW w:w="1416" w:type="pct"/>
            <w:tcBorders>
              <w:top w:val="nil"/>
              <w:left w:val="nil"/>
              <w:bottom w:val="single" w:sz="8" w:space="0" w:color="auto"/>
              <w:right w:val="single" w:sz="4" w:space="0" w:color="auto"/>
            </w:tcBorders>
            <w:shd w:val="clear" w:color="000000" w:fill="FFFFFF"/>
            <w:vAlign w:val="bottom"/>
            <w:hideMark/>
          </w:tcPr>
          <w:p w14:paraId="032A4C67" w14:textId="6CC821B1" w:rsidR="00980A44" w:rsidRPr="00980A44" w:rsidRDefault="00980A44" w:rsidP="00980A44">
            <w:pPr>
              <w:spacing w:after="0" w:line="240" w:lineRule="auto"/>
              <w:jc w:val="center"/>
              <w:rPr>
                <w:rFonts w:ascii="Times New Roman" w:eastAsia="Times New Roman" w:hAnsi="Times New Roman" w:cs="Times New Roman"/>
                <w:b/>
                <w:bCs/>
                <w:color w:val="000000"/>
                <w:sz w:val="20"/>
                <w:szCs w:val="20"/>
              </w:rPr>
            </w:pPr>
            <w:r w:rsidRPr="00980A44">
              <w:rPr>
                <w:rFonts w:ascii="Times New Roman" w:eastAsia="Times New Roman" w:hAnsi="Times New Roman" w:cs="Times New Roman"/>
                <w:b/>
                <w:bCs/>
                <w:color w:val="000000"/>
                <w:sz w:val="20"/>
                <w:szCs w:val="20"/>
              </w:rPr>
              <w:t>FY 2020-2021</w:t>
            </w:r>
          </w:p>
        </w:tc>
      </w:tr>
      <w:tr w:rsidR="00980A44" w:rsidRPr="00980A44" w14:paraId="257F12F0" w14:textId="77777777" w:rsidTr="00980A44">
        <w:trPr>
          <w:trHeight w:val="315"/>
        </w:trPr>
        <w:tc>
          <w:tcPr>
            <w:tcW w:w="3584" w:type="pct"/>
            <w:tcBorders>
              <w:top w:val="single" w:sz="4" w:space="0" w:color="auto"/>
              <w:left w:val="single" w:sz="4" w:space="0" w:color="auto"/>
              <w:bottom w:val="single" w:sz="4" w:space="0" w:color="auto"/>
              <w:right w:val="single" w:sz="8" w:space="0" w:color="auto"/>
            </w:tcBorders>
            <w:shd w:val="clear" w:color="auto" w:fill="auto"/>
            <w:vAlign w:val="bottom"/>
            <w:hideMark/>
          </w:tcPr>
          <w:p w14:paraId="0D59BEAB" w14:textId="77777777" w:rsidR="00980A44" w:rsidRPr="00980A44" w:rsidRDefault="00980A44" w:rsidP="00980A44">
            <w:pPr>
              <w:spacing w:after="0" w:line="240" w:lineRule="auto"/>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a.Equitable Share</w:t>
            </w:r>
          </w:p>
        </w:tc>
        <w:tc>
          <w:tcPr>
            <w:tcW w:w="1416" w:type="pct"/>
            <w:tcBorders>
              <w:top w:val="nil"/>
              <w:left w:val="nil"/>
              <w:bottom w:val="single" w:sz="4" w:space="0" w:color="auto"/>
              <w:right w:val="single" w:sz="4" w:space="0" w:color="auto"/>
            </w:tcBorders>
            <w:shd w:val="clear" w:color="auto" w:fill="auto"/>
            <w:noWrap/>
            <w:vAlign w:val="bottom"/>
            <w:hideMark/>
          </w:tcPr>
          <w:p w14:paraId="46F44EC7" w14:textId="1D748DE8" w:rsidR="00980A44" w:rsidRPr="00980A44" w:rsidRDefault="00980A44" w:rsidP="00980A44">
            <w:pPr>
              <w:spacing w:after="0" w:line="240" w:lineRule="auto"/>
              <w:jc w:val="center"/>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7,939,000,000.00</w:t>
            </w:r>
          </w:p>
        </w:tc>
      </w:tr>
      <w:tr w:rsidR="00980A44" w:rsidRPr="00980A44" w14:paraId="0D607D44" w14:textId="77777777" w:rsidTr="00980A44">
        <w:trPr>
          <w:trHeight w:val="315"/>
        </w:trPr>
        <w:tc>
          <w:tcPr>
            <w:tcW w:w="3584" w:type="pct"/>
            <w:tcBorders>
              <w:top w:val="nil"/>
              <w:left w:val="single" w:sz="4" w:space="0" w:color="auto"/>
              <w:bottom w:val="single" w:sz="4" w:space="0" w:color="auto"/>
              <w:right w:val="single" w:sz="8" w:space="0" w:color="auto"/>
            </w:tcBorders>
            <w:shd w:val="clear" w:color="auto" w:fill="auto"/>
            <w:vAlign w:val="bottom"/>
            <w:hideMark/>
          </w:tcPr>
          <w:p w14:paraId="17063F02" w14:textId="77777777" w:rsidR="00980A44" w:rsidRPr="00980A44" w:rsidRDefault="00980A44" w:rsidP="00980A44">
            <w:pPr>
              <w:spacing w:after="0" w:line="240" w:lineRule="auto"/>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b.County Own Revenue</w:t>
            </w:r>
          </w:p>
        </w:tc>
        <w:tc>
          <w:tcPr>
            <w:tcW w:w="1416" w:type="pct"/>
            <w:tcBorders>
              <w:top w:val="nil"/>
              <w:left w:val="nil"/>
              <w:bottom w:val="single" w:sz="4" w:space="0" w:color="auto"/>
              <w:right w:val="single" w:sz="4" w:space="0" w:color="auto"/>
            </w:tcBorders>
            <w:shd w:val="clear" w:color="auto" w:fill="auto"/>
            <w:noWrap/>
            <w:vAlign w:val="bottom"/>
            <w:hideMark/>
          </w:tcPr>
          <w:p w14:paraId="65ABDD95" w14:textId="6ABB8576" w:rsidR="00980A44" w:rsidRPr="00980A44" w:rsidRDefault="00980A44" w:rsidP="00980A44">
            <w:pPr>
              <w:spacing w:after="0" w:line="240" w:lineRule="auto"/>
              <w:jc w:val="center"/>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705,000,000.00</w:t>
            </w:r>
          </w:p>
        </w:tc>
      </w:tr>
      <w:tr w:rsidR="00980A44" w:rsidRPr="00980A44" w14:paraId="39739F7A" w14:textId="77777777" w:rsidTr="00980A44">
        <w:trPr>
          <w:trHeight w:val="330"/>
        </w:trPr>
        <w:tc>
          <w:tcPr>
            <w:tcW w:w="3584" w:type="pct"/>
            <w:tcBorders>
              <w:top w:val="nil"/>
              <w:left w:val="single" w:sz="8" w:space="0" w:color="auto"/>
              <w:bottom w:val="single" w:sz="4" w:space="0" w:color="auto"/>
              <w:right w:val="single" w:sz="8" w:space="0" w:color="auto"/>
            </w:tcBorders>
            <w:shd w:val="clear" w:color="auto" w:fill="auto"/>
            <w:vAlign w:val="bottom"/>
            <w:hideMark/>
          </w:tcPr>
          <w:p w14:paraId="49B24EE7" w14:textId="77777777" w:rsidR="00980A44" w:rsidRPr="00980A44" w:rsidRDefault="00980A44" w:rsidP="00980A44">
            <w:pPr>
              <w:spacing w:after="0" w:line="240" w:lineRule="auto"/>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c.Appropriation in Aid- Hospital FIF</w:t>
            </w:r>
          </w:p>
        </w:tc>
        <w:tc>
          <w:tcPr>
            <w:tcW w:w="1416" w:type="pct"/>
            <w:tcBorders>
              <w:top w:val="nil"/>
              <w:left w:val="nil"/>
              <w:bottom w:val="single" w:sz="4" w:space="0" w:color="auto"/>
              <w:right w:val="single" w:sz="8" w:space="0" w:color="auto"/>
            </w:tcBorders>
            <w:shd w:val="clear" w:color="auto" w:fill="auto"/>
            <w:noWrap/>
            <w:vAlign w:val="bottom"/>
            <w:hideMark/>
          </w:tcPr>
          <w:p w14:paraId="5889CC68" w14:textId="780F5896" w:rsidR="00980A44" w:rsidRPr="00980A44" w:rsidRDefault="00980A44" w:rsidP="00980A44">
            <w:pPr>
              <w:spacing w:after="0" w:line="240" w:lineRule="auto"/>
              <w:jc w:val="center"/>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260,000,000.00</w:t>
            </w:r>
          </w:p>
        </w:tc>
      </w:tr>
      <w:tr w:rsidR="00980A44" w:rsidRPr="00980A44" w14:paraId="2C8F3371" w14:textId="77777777" w:rsidTr="00980A44">
        <w:trPr>
          <w:trHeight w:val="330"/>
        </w:trPr>
        <w:tc>
          <w:tcPr>
            <w:tcW w:w="3584"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23B9E22A" w14:textId="77777777" w:rsidR="00980A44" w:rsidRPr="00980A44" w:rsidRDefault="00980A44" w:rsidP="00980A44">
            <w:pPr>
              <w:spacing w:after="0" w:line="240" w:lineRule="auto"/>
              <w:rPr>
                <w:rFonts w:ascii="Times New Roman" w:eastAsia="Times New Roman" w:hAnsi="Times New Roman" w:cs="Times New Roman"/>
                <w:b/>
                <w:bCs/>
                <w:color w:val="000000"/>
                <w:sz w:val="20"/>
                <w:szCs w:val="20"/>
              </w:rPr>
            </w:pPr>
            <w:r w:rsidRPr="00980A44">
              <w:rPr>
                <w:rFonts w:ascii="Times New Roman" w:eastAsia="Times New Roman" w:hAnsi="Times New Roman" w:cs="Times New Roman"/>
                <w:b/>
                <w:bCs/>
                <w:color w:val="000000"/>
                <w:sz w:val="20"/>
                <w:szCs w:val="20"/>
              </w:rPr>
              <w:t xml:space="preserve">Total </w:t>
            </w:r>
          </w:p>
        </w:tc>
        <w:tc>
          <w:tcPr>
            <w:tcW w:w="1416" w:type="pct"/>
            <w:tcBorders>
              <w:top w:val="single" w:sz="8" w:space="0" w:color="auto"/>
              <w:left w:val="nil"/>
              <w:bottom w:val="single" w:sz="8" w:space="0" w:color="auto"/>
              <w:right w:val="single" w:sz="8" w:space="0" w:color="auto"/>
            </w:tcBorders>
            <w:shd w:val="clear" w:color="auto" w:fill="auto"/>
            <w:noWrap/>
            <w:vAlign w:val="bottom"/>
            <w:hideMark/>
          </w:tcPr>
          <w:p w14:paraId="2D262CBE" w14:textId="784269D4" w:rsidR="00980A44" w:rsidRPr="00980A44" w:rsidRDefault="00980A44" w:rsidP="00980A44">
            <w:pPr>
              <w:spacing w:after="0" w:line="240" w:lineRule="auto"/>
              <w:jc w:val="center"/>
              <w:rPr>
                <w:rFonts w:ascii="Times New Roman" w:eastAsia="Times New Roman" w:hAnsi="Times New Roman" w:cs="Times New Roman"/>
                <w:b/>
                <w:bCs/>
                <w:color w:val="000000"/>
                <w:sz w:val="20"/>
                <w:szCs w:val="20"/>
              </w:rPr>
            </w:pPr>
            <w:r w:rsidRPr="00980A44">
              <w:rPr>
                <w:rFonts w:ascii="Times New Roman" w:eastAsia="Times New Roman" w:hAnsi="Times New Roman" w:cs="Times New Roman"/>
                <w:b/>
                <w:bCs/>
                <w:color w:val="000000"/>
                <w:sz w:val="20"/>
                <w:szCs w:val="20"/>
              </w:rPr>
              <w:t>8,904,000,000.00</w:t>
            </w:r>
          </w:p>
        </w:tc>
      </w:tr>
      <w:tr w:rsidR="00980A44" w:rsidRPr="00980A44" w14:paraId="4FA2C3B4" w14:textId="77777777" w:rsidTr="00980A44">
        <w:trPr>
          <w:trHeight w:val="195"/>
        </w:trPr>
        <w:tc>
          <w:tcPr>
            <w:tcW w:w="3584" w:type="pct"/>
            <w:tcBorders>
              <w:top w:val="nil"/>
              <w:left w:val="single" w:sz="8" w:space="0" w:color="auto"/>
              <w:bottom w:val="nil"/>
              <w:right w:val="single" w:sz="8" w:space="0" w:color="auto"/>
            </w:tcBorders>
            <w:shd w:val="clear" w:color="auto" w:fill="auto"/>
            <w:vAlign w:val="center"/>
            <w:hideMark/>
          </w:tcPr>
          <w:p w14:paraId="0CB5354B" w14:textId="77777777" w:rsidR="00980A44" w:rsidRPr="00980A44" w:rsidRDefault="00980A44" w:rsidP="00980A44">
            <w:pPr>
              <w:spacing w:after="0" w:line="240" w:lineRule="auto"/>
              <w:rPr>
                <w:rFonts w:ascii="Times New Roman" w:eastAsia="Times New Roman" w:hAnsi="Times New Roman" w:cs="Times New Roman"/>
                <w:b/>
                <w:bCs/>
                <w:color w:val="000000"/>
                <w:sz w:val="20"/>
                <w:szCs w:val="20"/>
              </w:rPr>
            </w:pPr>
            <w:r w:rsidRPr="00980A44">
              <w:rPr>
                <w:rFonts w:ascii="Times New Roman" w:eastAsia="Times New Roman" w:hAnsi="Times New Roman" w:cs="Times New Roman"/>
                <w:b/>
                <w:bCs/>
                <w:color w:val="000000"/>
                <w:sz w:val="20"/>
                <w:szCs w:val="20"/>
              </w:rPr>
              <w:t> </w:t>
            </w:r>
          </w:p>
        </w:tc>
        <w:tc>
          <w:tcPr>
            <w:tcW w:w="1416" w:type="pct"/>
            <w:tcBorders>
              <w:top w:val="nil"/>
              <w:left w:val="nil"/>
              <w:bottom w:val="nil"/>
              <w:right w:val="single" w:sz="8" w:space="0" w:color="auto"/>
            </w:tcBorders>
            <w:shd w:val="clear" w:color="auto" w:fill="auto"/>
            <w:noWrap/>
            <w:vAlign w:val="bottom"/>
            <w:hideMark/>
          </w:tcPr>
          <w:p w14:paraId="1ECA3D6A" w14:textId="26E2E307" w:rsidR="00980A44" w:rsidRPr="00980A44" w:rsidRDefault="00980A44" w:rsidP="00980A44">
            <w:pPr>
              <w:spacing w:after="0" w:line="240" w:lineRule="auto"/>
              <w:jc w:val="center"/>
              <w:rPr>
                <w:rFonts w:ascii="Times New Roman" w:eastAsia="Times New Roman" w:hAnsi="Times New Roman" w:cs="Times New Roman"/>
                <w:b/>
                <w:bCs/>
                <w:color w:val="000000"/>
                <w:sz w:val="20"/>
                <w:szCs w:val="20"/>
              </w:rPr>
            </w:pPr>
          </w:p>
        </w:tc>
      </w:tr>
      <w:tr w:rsidR="00980A44" w:rsidRPr="00980A44" w14:paraId="130B934D" w14:textId="77777777" w:rsidTr="00980A44">
        <w:trPr>
          <w:trHeight w:val="315"/>
        </w:trPr>
        <w:tc>
          <w:tcPr>
            <w:tcW w:w="3584" w:type="pct"/>
            <w:tcBorders>
              <w:top w:val="nil"/>
              <w:left w:val="single" w:sz="8" w:space="0" w:color="auto"/>
              <w:bottom w:val="single" w:sz="4" w:space="0" w:color="auto"/>
              <w:right w:val="single" w:sz="8" w:space="0" w:color="auto"/>
            </w:tcBorders>
            <w:shd w:val="clear" w:color="auto" w:fill="auto"/>
            <w:vAlign w:val="center"/>
            <w:hideMark/>
          </w:tcPr>
          <w:p w14:paraId="323AB313" w14:textId="77777777" w:rsidR="00980A44" w:rsidRPr="00980A44" w:rsidRDefault="00980A44" w:rsidP="00980A44">
            <w:pPr>
              <w:spacing w:after="0" w:line="240" w:lineRule="auto"/>
              <w:rPr>
                <w:rFonts w:ascii="Times New Roman" w:eastAsia="Times New Roman" w:hAnsi="Times New Roman" w:cs="Times New Roman"/>
                <w:b/>
                <w:bCs/>
                <w:color w:val="000000"/>
                <w:sz w:val="20"/>
                <w:szCs w:val="20"/>
              </w:rPr>
            </w:pPr>
            <w:r w:rsidRPr="00980A44">
              <w:rPr>
                <w:rFonts w:ascii="Times New Roman" w:eastAsia="Times New Roman" w:hAnsi="Times New Roman" w:cs="Times New Roman"/>
                <w:b/>
                <w:bCs/>
                <w:color w:val="000000"/>
                <w:sz w:val="20"/>
                <w:szCs w:val="20"/>
              </w:rPr>
              <w:t>f.Conditional Grants from the National Government Revenue</w:t>
            </w:r>
          </w:p>
        </w:tc>
        <w:tc>
          <w:tcPr>
            <w:tcW w:w="1416" w:type="pct"/>
            <w:tcBorders>
              <w:top w:val="nil"/>
              <w:left w:val="nil"/>
              <w:bottom w:val="single" w:sz="4" w:space="0" w:color="auto"/>
              <w:right w:val="single" w:sz="8" w:space="0" w:color="auto"/>
            </w:tcBorders>
            <w:shd w:val="clear" w:color="auto" w:fill="auto"/>
            <w:noWrap/>
            <w:vAlign w:val="bottom"/>
            <w:hideMark/>
          </w:tcPr>
          <w:p w14:paraId="10F49BD9" w14:textId="692C4481" w:rsidR="00980A44" w:rsidRPr="00980A44" w:rsidRDefault="00980A44" w:rsidP="00980A44">
            <w:pPr>
              <w:spacing w:after="0" w:line="240" w:lineRule="auto"/>
              <w:jc w:val="center"/>
              <w:rPr>
                <w:rFonts w:ascii="Times New Roman" w:eastAsia="Times New Roman" w:hAnsi="Times New Roman" w:cs="Times New Roman"/>
                <w:color w:val="000000"/>
                <w:sz w:val="20"/>
                <w:szCs w:val="20"/>
              </w:rPr>
            </w:pPr>
          </w:p>
        </w:tc>
      </w:tr>
      <w:tr w:rsidR="00980A44" w:rsidRPr="00980A44" w14:paraId="00EBB897" w14:textId="77777777" w:rsidTr="00980A44">
        <w:trPr>
          <w:trHeight w:val="315"/>
        </w:trPr>
        <w:tc>
          <w:tcPr>
            <w:tcW w:w="3584" w:type="pct"/>
            <w:tcBorders>
              <w:top w:val="nil"/>
              <w:left w:val="single" w:sz="8" w:space="0" w:color="auto"/>
              <w:bottom w:val="single" w:sz="4" w:space="0" w:color="auto"/>
              <w:right w:val="single" w:sz="8" w:space="0" w:color="auto"/>
            </w:tcBorders>
            <w:shd w:val="clear" w:color="auto" w:fill="auto"/>
            <w:vAlign w:val="bottom"/>
            <w:hideMark/>
          </w:tcPr>
          <w:p w14:paraId="3E1E9EAE" w14:textId="77777777" w:rsidR="00980A44" w:rsidRPr="00980A44" w:rsidRDefault="00980A44" w:rsidP="00980A44">
            <w:pPr>
              <w:spacing w:after="0" w:line="240" w:lineRule="auto"/>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 xml:space="preserve">i.Conditional Grants to Level-5 Hospitals </w:t>
            </w:r>
          </w:p>
        </w:tc>
        <w:tc>
          <w:tcPr>
            <w:tcW w:w="1416" w:type="pct"/>
            <w:tcBorders>
              <w:top w:val="nil"/>
              <w:left w:val="nil"/>
              <w:bottom w:val="single" w:sz="4" w:space="0" w:color="auto"/>
              <w:right w:val="single" w:sz="8" w:space="0" w:color="auto"/>
            </w:tcBorders>
            <w:shd w:val="clear" w:color="auto" w:fill="auto"/>
            <w:noWrap/>
            <w:vAlign w:val="bottom"/>
            <w:hideMark/>
          </w:tcPr>
          <w:p w14:paraId="37BA4B68" w14:textId="3D67E51F" w:rsidR="00980A44" w:rsidRPr="00980A44" w:rsidRDefault="00980A44" w:rsidP="00980A44">
            <w:pPr>
              <w:spacing w:after="0" w:line="240" w:lineRule="auto"/>
              <w:jc w:val="center"/>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396,305,201.92</w:t>
            </w:r>
          </w:p>
        </w:tc>
      </w:tr>
      <w:tr w:rsidR="00980A44" w:rsidRPr="00980A44" w14:paraId="12E69337" w14:textId="77777777" w:rsidTr="00980A44">
        <w:trPr>
          <w:trHeight w:val="315"/>
        </w:trPr>
        <w:tc>
          <w:tcPr>
            <w:tcW w:w="3584" w:type="pct"/>
            <w:tcBorders>
              <w:top w:val="nil"/>
              <w:left w:val="single" w:sz="8" w:space="0" w:color="auto"/>
              <w:bottom w:val="single" w:sz="4" w:space="0" w:color="auto"/>
              <w:right w:val="single" w:sz="8" w:space="0" w:color="auto"/>
            </w:tcBorders>
            <w:shd w:val="clear" w:color="auto" w:fill="auto"/>
            <w:vAlign w:val="bottom"/>
            <w:hideMark/>
          </w:tcPr>
          <w:p w14:paraId="6E152A3B" w14:textId="77777777" w:rsidR="00980A44" w:rsidRPr="00980A44" w:rsidRDefault="00980A44" w:rsidP="00980A44">
            <w:pPr>
              <w:spacing w:after="0" w:line="240" w:lineRule="auto"/>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iv.Conditional Allocation for Development of Youth Polytechnics*</w:t>
            </w:r>
          </w:p>
        </w:tc>
        <w:tc>
          <w:tcPr>
            <w:tcW w:w="1416" w:type="pct"/>
            <w:tcBorders>
              <w:top w:val="nil"/>
              <w:left w:val="nil"/>
              <w:bottom w:val="single" w:sz="4" w:space="0" w:color="auto"/>
              <w:right w:val="single" w:sz="8" w:space="0" w:color="auto"/>
            </w:tcBorders>
            <w:shd w:val="clear" w:color="auto" w:fill="auto"/>
            <w:noWrap/>
            <w:vAlign w:val="bottom"/>
            <w:hideMark/>
          </w:tcPr>
          <w:p w14:paraId="3D020E2C" w14:textId="4BC7AB33" w:rsidR="00980A44" w:rsidRPr="00980A44" w:rsidRDefault="00980A44" w:rsidP="00980A44">
            <w:pPr>
              <w:spacing w:after="0" w:line="240" w:lineRule="auto"/>
              <w:jc w:val="center"/>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59,962,395.88</w:t>
            </w:r>
          </w:p>
        </w:tc>
      </w:tr>
      <w:tr w:rsidR="00980A44" w:rsidRPr="00980A44" w14:paraId="1B03598B" w14:textId="77777777" w:rsidTr="00980A44">
        <w:trPr>
          <w:trHeight w:val="315"/>
        </w:trPr>
        <w:tc>
          <w:tcPr>
            <w:tcW w:w="3584" w:type="pct"/>
            <w:tcBorders>
              <w:top w:val="nil"/>
              <w:left w:val="single" w:sz="8" w:space="0" w:color="auto"/>
              <w:bottom w:val="single" w:sz="4" w:space="0" w:color="auto"/>
              <w:right w:val="single" w:sz="8" w:space="0" w:color="auto"/>
            </w:tcBorders>
            <w:shd w:val="clear" w:color="auto" w:fill="auto"/>
            <w:vAlign w:val="bottom"/>
            <w:hideMark/>
          </w:tcPr>
          <w:p w14:paraId="32AA67AB" w14:textId="77777777" w:rsidR="00980A44" w:rsidRPr="00980A44" w:rsidRDefault="00980A44" w:rsidP="00980A44">
            <w:pPr>
              <w:spacing w:after="0" w:line="240" w:lineRule="auto"/>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v.Conditional Grant-Compensation for User Fee Foregone</w:t>
            </w:r>
          </w:p>
        </w:tc>
        <w:tc>
          <w:tcPr>
            <w:tcW w:w="1416" w:type="pct"/>
            <w:tcBorders>
              <w:top w:val="nil"/>
              <w:left w:val="nil"/>
              <w:bottom w:val="single" w:sz="4" w:space="0" w:color="auto"/>
              <w:right w:val="single" w:sz="8" w:space="0" w:color="auto"/>
            </w:tcBorders>
            <w:shd w:val="clear" w:color="auto" w:fill="auto"/>
            <w:noWrap/>
            <w:vAlign w:val="bottom"/>
            <w:hideMark/>
          </w:tcPr>
          <w:p w14:paraId="4E57D7EC" w14:textId="7A089388" w:rsidR="00980A44" w:rsidRPr="00980A44" w:rsidRDefault="00980A44" w:rsidP="00980A44">
            <w:pPr>
              <w:spacing w:after="0" w:line="240" w:lineRule="auto"/>
              <w:jc w:val="center"/>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33,547,333.68</w:t>
            </w:r>
          </w:p>
        </w:tc>
      </w:tr>
      <w:tr w:rsidR="00980A44" w:rsidRPr="00980A44" w14:paraId="1BA2D355" w14:textId="77777777" w:rsidTr="00980A44">
        <w:trPr>
          <w:trHeight w:val="330"/>
        </w:trPr>
        <w:tc>
          <w:tcPr>
            <w:tcW w:w="3584" w:type="pct"/>
            <w:tcBorders>
              <w:top w:val="nil"/>
              <w:left w:val="single" w:sz="8" w:space="0" w:color="auto"/>
              <w:bottom w:val="nil"/>
              <w:right w:val="single" w:sz="8" w:space="0" w:color="auto"/>
            </w:tcBorders>
            <w:shd w:val="clear" w:color="auto" w:fill="auto"/>
            <w:vAlign w:val="bottom"/>
            <w:hideMark/>
          </w:tcPr>
          <w:p w14:paraId="6A8EF70B" w14:textId="77777777" w:rsidR="00980A44" w:rsidRPr="00980A44" w:rsidRDefault="00980A44" w:rsidP="00980A44">
            <w:pPr>
              <w:spacing w:after="0" w:line="240" w:lineRule="auto"/>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vii.Conditional Grant- Road Maintenance Fuel Levy</w:t>
            </w:r>
          </w:p>
        </w:tc>
        <w:tc>
          <w:tcPr>
            <w:tcW w:w="1416" w:type="pct"/>
            <w:tcBorders>
              <w:top w:val="nil"/>
              <w:left w:val="nil"/>
              <w:bottom w:val="nil"/>
              <w:right w:val="single" w:sz="8" w:space="0" w:color="auto"/>
            </w:tcBorders>
            <w:shd w:val="clear" w:color="auto" w:fill="auto"/>
            <w:noWrap/>
            <w:vAlign w:val="bottom"/>
            <w:hideMark/>
          </w:tcPr>
          <w:p w14:paraId="09A86121" w14:textId="3E542A2E" w:rsidR="00980A44" w:rsidRPr="00980A44" w:rsidRDefault="00980A44" w:rsidP="00980A44">
            <w:pPr>
              <w:spacing w:after="0" w:line="240" w:lineRule="auto"/>
              <w:jc w:val="center"/>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241,886,899.28</w:t>
            </w:r>
          </w:p>
        </w:tc>
      </w:tr>
      <w:tr w:rsidR="00980A44" w:rsidRPr="00980A44" w14:paraId="432656F7" w14:textId="77777777" w:rsidTr="00980A44">
        <w:trPr>
          <w:trHeight w:val="330"/>
        </w:trPr>
        <w:tc>
          <w:tcPr>
            <w:tcW w:w="3584"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50921B07" w14:textId="77777777" w:rsidR="00980A44" w:rsidRPr="00980A44" w:rsidRDefault="00980A44" w:rsidP="00980A44">
            <w:pPr>
              <w:spacing w:after="0" w:line="240" w:lineRule="auto"/>
              <w:rPr>
                <w:rFonts w:ascii="Times New Roman" w:eastAsia="Times New Roman" w:hAnsi="Times New Roman" w:cs="Times New Roman"/>
                <w:b/>
                <w:bCs/>
                <w:color w:val="000000"/>
                <w:sz w:val="20"/>
                <w:szCs w:val="20"/>
              </w:rPr>
            </w:pPr>
            <w:r w:rsidRPr="00980A44">
              <w:rPr>
                <w:rFonts w:ascii="Times New Roman" w:eastAsia="Times New Roman" w:hAnsi="Times New Roman" w:cs="Times New Roman"/>
                <w:b/>
                <w:bCs/>
                <w:color w:val="000000"/>
                <w:sz w:val="20"/>
                <w:szCs w:val="20"/>
              </w:rPr>
              <w:t xml:space="preserve">Total </w:t>
            </w:r>
          </w:p>
        </w:tc>
        <w:tc>
          <w:tcPr>
            <w:tcW w:w="1416" w:type="pct"/>
            <w:tcBorders>
              <w:top w:val="single" w:sz="8" w:space="0" w:color="auto"/>
              <w:left w:val="nil"/>
              <w:bottom w:val="single" w:sz="8" w:space="0" w:color="auto"/>
              <w:right w:val="single" w:sz="8" w:space="0" w:color="auto"/>
            </w:tcBorders>
            <w:shd w:val="clear" w:color="auto" w:fill="auto"/>
            <w:noWrap/>
            <w:vAlign w:val="bottom"/>
            <w:hideMark/>
          </w:tcPr>
          <w:p w14:paraId="1023A966" w14:textId="46122FFE" w:rsidR="00980A44" w:rsidRPr="00980A44" w:rsidRDefault="00980A44" w:rsidP="00980A44">
            <w:pPr>
              <w:spacing w:after="0" w:line="240" w:lineRule="auto"/>
              <w:jc w:val="center"/>
              <w:rPr>
                <w:rFonts w:ascii="Times New Roman" w:eastAsia="Times New Roman" w:hAnsi="Times New Roman" w:cs="Times New Roman"/>
                <w:b/>
                <w:bCs/>
                <w:color w:val="000000"/>
                <w:sz w:val="20"/>
                <w:szCs w:val="20"/>
              </w:rPr>
            </w:pPr>
            <w:r w:rsidRPr="00980A44">
              <w:rPr>
                <w:rFonts w:ascii="Times New Roman" w:eastAsia="Times New Roman" w:hAnsi="Times New Roman" w:cs="Times New Roman"/>
                <w:b/>
                <w:bCs/>
                <w:color w:val="000000"/>
                <w:sz w:val="20"/>
                <w:szCs w:val="20"/>
              </w:rPr>
              <w:t>731,701,830.76</w:t>
            </w:r>
          </w:p>
        </w:tc>
      </w:tr>
      <w:tr w:rsidR="00980A44" w:rsidRPr="00980A44" w14:paraId="142F36AB" w14:textId="77777777" w:rsidTr="00980A44">
        <w:trPr>
          <w:trHeight w:val="225"/>
        </w:trPr>
        <w:tc>
          <w:tcPr>
            <w:tcW w:w="3584" w:type="pct"/>
            <w:tcBorders>
              <w:top w:val="nil"/>
              <w:left w:val="single" w:sz="8" w:space="0" w:color="auto"/>
              <w:bottom w:val="nil"/>
              <w:right w:val="single" w:sz="8" w:space="0" w:color="auto"/>
            </w:tcBorders>
            <w:shd w:val="clear" w:color="auto" w:fill="auto"/>
            <w:vAlign w:val="center"/>
            <w:hideMark/>
          </w:tcPr>
          <w:p w14:paraId="30E32250" w14:textId="77777777" w:rsidR="00980A44" w:rsidRPr="00980A44" w:rsidRDefault="00980A44" w:rsidP="00980A44">
            <w:pPr>
              <w:spacing w:after="0" w:line="240" w:lineRule="auto"/>
              <w:rPr>
                <w:rFonts w:ascii="Times New Roman" w:eastAsia="Times New Roman" w:hAnsi="Times New Roman" w:cs="Times New Roman"/>
                <w:b/>
                <w:bCs/>
                <w:color w:val="000000"/>
                <w:sz w:val="20"/>
                <w:szCs w:val="20"/>
              </w:rPr>
            </w:pPr>
            <w:r w:rsidRPr="00980A44">
              <w:rPr>
                <w:rFonts w:ascii="Times New Roman" w:eastAsia="Times New Roman" w:hAnsi="Times New Roman" w:cs="Times New Roman"/>
                <w:b/>
                <w:bCs/>
                <w:color w:val="000000"/>
                <w:sz w:val="20"/>
                <w:szCs w:val="20"/>
              </w:rPr>
              <w:t> </w:t>
            </w:r>
          </w:p>
        </w:tc>
        <w:tc>
          <w:tcPr>
            <w:tcW w:w="1416" w:type="pct"/>
            <w:tcBorders>
              <w:top w:val="nil"/>
              <w:left w:val="nil"/>
              <w:bottom w:val="nil"/>
              <w:right w:val="single" w:sz="8" w:space="0" w:color="auto"/>
            </w:tcBorders>
            <w:shd w:val="clear" w:color="auto" w:fill="auto"/>
            <w:noWrap/>
            <w:vAlign w:val="bottom"/>
            <w:hideMark/>
          </w:tcPr>
          <w:p w14:paraId="14A83613" w14:textId="42C8032F" w:rsidR="00980A44" w:rsidRPr="00980A44" w:rsidRDefault="00980A44" w:rsidP="00980A44">
            <w:pPr>
              <w:spacing w:after="0" w:line="240" w:lineRule="auto"/>
              <w:jc w:val="center"/>
              <w:rPr>
                <w:rFonts w:ascii="Times New Roman" w:eastAsia="Times New Roman" w:hAnsi="Times New Roman" w:cs="Times New Roman"/>
                <w:b/>
                <w:bCs/>
                <w:color w:val="000000"/>
                <w:sz w:val="20"/>
                <w:szCs w:val="20"/>
              </w:rPr>
            </w:pPr>
          </w:p>
        </w:tc>
      </w:tr>
      <w:tr w:rsidR="00980A44" w:rsidRPr="00980A44" w14:paraId="2B0B38D3" w14:textId="77777777" w:rsidTr="00980A44">
        <w:trPr>
          <w:trHeight w:val="510"/>
        </w:trPr>
        <w:tc>
          <w:tcPr>
            <w:tcW w:w="3584" w:type="pct"/>
            <w:tcBorders>
              <w:top w:val="nil"/>
              <w:left w:val="single" w:sz="8" w:space="0" w:color="auto"/>
              <w:bottom w:val="single" w:sz="4" w:space="0" w:color="auto"/>
              <w:right w:val="single" w:sz="8" w:space="0" w:color="auto"/>
            </w:tcBorders>
            <w:shd w:val="clear" w:color="auto" w:fill="auto"/>
            <w:vAlign w:val="center"/>
            <w:hideMark/>
          </w:tcPr>
          <w:p w14:paraId="725107B3" w14:textId="77777777" w:rsidR="00980A44" w:rsidRPr="00980A44" w:rsidRDefault="00980A44" w:rsidP="00980A44">
            <w:pPr>
              <w:spacing w:after="0" w:line="240" w:lineRule="auto"/>
              <w:rPr>
                <w:rFonts w:ascii="Times New Roman" w:eastAsia="Times New Roman" w:hAnsi="Times New Roman" w:cs="Times New Roman"/>
                <w:b/>
                <w:bCs/>
                <w:color w:val="000000"/>
                <w:sz w:val="20"/>
                <w:szCs w:val="20"/>
              </w:rPr>
            </w:pPr>
            <w:r w:rsidRPr="00980A44">
              <w:rPr>
                <w:rFonts w:ascii="Times New Roman" w:eastAsia="Times New Roman" w:hAnsi="Times New Roman" w:cs="Times New Roman"/>
                <w:b/>
                <w:bCs/>
                <w:color w:val="000000"/>
                <w:sz w:val="20"/>
                <w:szCs w:val="20"/>
              </w:rPr>
              <w:t xml:space="preserve">g.Conditional allocations to County Governments from Loans and Grants from Development Partners </w:t>
            </w:r>
          </w:p>
        </w:tc>
        <w:tc>
          <w:tcPr>
            <w:tcW w:w="1416" w:type="pct"/>
            <w:tcBorders>
              <w:top w:val="nil"/>
              <w:left w:val="nil"/>
              <w:bottom w:val="single" w:sz="4" w:space="0" w:color="auto"/>
              <w:right w:val="single" w:sz="8" w:space="0" w:color="auto"/>
            </w:tcBorders>
            <w:shd w:val="clear" w:color="auto" w:fill="auto"/>
            <w:noWrap/>
            <w:vAlign w:val="bottom"/>
            <w:hideMark/>
          </w:tcPr>
          <w:p w14:paraId="29A1461B" w14:textId="0E2EE8BC" w:rsidR="00980A44" w:rsidRPr="00980A44" w:rsidRDefault="00980A44" w:rsidP="00980A44">
            <w:pPr>
              <w:spacing w:after="0" w:line="240" w:lineRule="auto"/>
              <w:jc w:val="center"/>
              <w:rPr>
                <w:rFonts w:ascii="Times New Roman" w:eastAsia="Times New Roman" w:hAnsi="Times New Roman" w:cs="Times New Roman"/>
                <w:color w:val="000000"/>
                <w:sz w:val="20"/>
                <w:szCs w:val="20"/>
              </w:rPr>
            </w:pPr>
          </w:p>
        </w:tc>
      </w:tr>
      <w:tr w:rsidR="00980A44" w:rsidRPr="00980A44" w14:paraId="23D96541" w14:textId="77777777" w:rsidTr="00980A44">
        <w:trPr>
          <w:trHeight w:val="525"/>
        </w:trPr>
        <w:tc>
          <w:tcPr>
            <w:tcW w:w="3584" w:type="pct"/>
            <w:tcBorders>
              <w:top w:val="nil"/>
              <w:left w:val="single" w:sz="8" w:space="0" w:color="auto"/>
              <w:bottom w:val="single" w:sz="4" w:space="0" w:color="auto"/>
              <w:right w:val="single" w:sz="8" w:space="0" w:color="auto"/>
            </w:tcBorders>
            <w:shd w:val="clear" w:color="auto" w:fill="auto"/>
            <w:vAlign w:val="bottom"/>
            <w:hideMark/>
          </w:tcPr>
          <w:p w14:paraId="688FC746" w14:textId="77777777" w:rsidR="00980A44" w:rsidRPr="00980A44" w:rsidRDefault="00980A44" w:rsidP="00980A44">
            <w:pPr>
              <w:spacing w:after="0" w:line="240" w:lineRule="auto"/>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i.World Bank Loan to for transforming health systems for universal care project</w:t>
            </w:r>
          </w:p>
        </w:tc>
        <w:tc>
          <w:tcPr>
            <w:tcW w:w="1416" w:type="pct"/>
            <w:tcBorders>
              <w:top w:val="nil"/>
              <w:left w:val="nil"/>
              <w:bottom w:val="single" w:sz="4" w:space="0" w:color="auto"/>
              <w:right w:val="single" w:sz="8" w:space="0" w:color="auto"/>
            </w:tcBorders>
            <w:shd w:val="clear" w:color="auto" w:fill="auto"/>
            <w:noWrap/>
            <w:vAlign w:val="bottom"/>
            <w:hideMark/>
          </w:tcPr>
          <w:p w14:paraId="6EDCB35A" w14:textId="67E03597" w:rsidR="00980A44" w:rsidRPr="00980A44" w:rsidRDefault="00980A44" w:rsidP="00980A44">
            <w:pPr>
              <w:spacing w:after="0" w:line="240" w:lineRule="auto"/>
              <w:jc w:val="center"/>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37,100,000.00</w:t>
            </w:r>
          </w:p>
        </w:tc>
      </w:tr>
      <w:tr w:rsidR="00980A44" w:rsidRPr="00980A44" w14:paraId="321E5C29" w14:textId="77777777" w:rsidTr="00980A44">
        <w:trPr>
          <w:trHeight w:val="525"/>
        </w:trPr>
        <w:tc>
          <w:tcPr>
            <w:tcW w:w="3584" w:type="pct"/>
            <w:tcBorders>
              <w:top w:val="nil"/>
              <w:left w:val="single" w:sz="8" w:space="0" w:color="auto"/>
              <w:bottom w:val="single" w:sz="4" w:space="0" w:color="auto"/>
              <w:right w:val="single" w:sz="8" w:space="0" w:color="auto"/>
            </w:tcBorders>
            <w:shd w:val="clear" w:color="auto" w:fill="auto"/>
            <w:vAlign w:val="bottom"/>
            <w:hideMark/>
          </w:tcPr>
          <w:p w14:paraId="660E351E" w14:textId="77777777" w:rsidR="00980A44" w:rsidRPr="00980A44" w:rsidRDefault="00980A44" w:rsidP="00980A44">
            <w:pPr>
              <w:spacing w:after="0" w:line="240" w:lineRule="auto"/>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ii.World Bank for national agricultural and Rural Inclusive Growth project</w:t>
            </w:r>
          </w:p>
        </w:tc>
        <w:tc>
          <w:tcPr>
            <w:tcW w:w="1416" w:type="pct"/>
            <w:tcBorders>
              <w:top w:val="nil"/>
              <w:left w:val="nil"/>
              <w:bottom w:val="single" w:sz="4" w:space="0" w:color="auto"/>
              <w:right w:val="single" w:sz="8" w:space="0" w:color="auto"/>
            </w:tcBorders>
            <w:shd w:val="clear" w:color="auto" w:fill="auto"/>
            <w:noWrap/>
            <w:vAlign w:val="bottom"/>
            <w:hideMark/>
          </w:tcPr>
          <w:p w14:paraId="4A18BD2E" w14:textId="5D73C046" w:rsidR="00980A44" w:rsidRPr="00980A44" w:rsidRDefault="00980A44" w:rsidP="00980A44">
            <w:pPr>
              <w:spacing w:after="0" w:line="240" w:lineRule="auto"/>
              <w:jc w:val="center"/>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317,970,086.80</w:t>
            </w:r>
          </w:p>
        </w:tc>
      </w:tr>
      <w:tr w:rsidR="00980A44" w:rsidRPr="00980A44" w14:paraId="1192CA89" w14:textId="77777777" w:rsidTr="00980A44">
        <w:trPr>
          <w:trHeight w:val="525"/>
        </w:trPr>
        <w:tc>
          <w:tcPr>
            <w:tcW w:w="3584" w:type="pct"/>
            <w:tcBorders>
              <w:top w:val="nil"/>
              <w:left w:val="single" w:sz="8" w:space="0" w:color="auto"/>
              <w:bottom w:val="single" w:sz="4" w:space="0" w:color="auto"/>
              <w:right w:val="single" w:sz="8" w:space="0" w:color="auto"/>
            </w:tcBorders>
            <w:shd w:val="clear" w:color="auto" w:fill="auto"/>
            <w:vAlign w:val="bottom"/>
            <w:hideMark/>
          </w:tcPr>
          <w:p w14:paraId="51C2718D" w14:textId="77777777" w:rsidR="00980A44" w:rsidRPr="00980A44" w:rsidRDefault="00980A44" w:rsidP="00980A44">
            <w:pPr>
              <w:spacing w:after="0" w:line="240" w:lineRule="auto"/>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 xml:space="preserve">iii. World Bank Urban development grant for Kenya urban support program </w:t>
            </w:r>
          </w:p>
        </w:tc>
        <w:tc>
          <w:tcPr>
            <w:tcW w:w="1416" w:type="pct"/>
            <w:tcBorders>
              <w:top w:val="nil"/>
              <w:left w:val="nil"/>
              <w:bottom w:val="single" w:sz="4" w:space="0" w:color="auto"/>
              <w:right w:val="single" w:sz="8" w:space="0" w:color="auto"/>
            </w:tcBorders>
            <w:shd w:val="clear" w:color="auto" w:fill="auto"/>
            <w:noWrap/>
            <w:vAlign w:val="bottom"/>
            <w:hideMark/>
          </w:tcPr>
          <w:p w14:paraId="2B8B1434" w14:textId="7EE99A8D" w:rsidR="00980A44" w:rsidRPr="00980A44" w:rsidRDefault="00980A44" w:rsidP="00980A44">
            <w:pPr>
              <w:spacing w:after="0" w:line="240" w:lineRule="auto"/>
              <w:jc w:val="center"/>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123,903,612.00</w:t>
            </w:r>
          </w:p>
        </w:tc>
      </w:tr>
      <w:tr w:rsidR="00980A44" w:rsidRPr="00980A44" w14:paraId="58DC9D89" w14:textId="77777777" w:rsidTr="00980A44">
        <w:trPr>
          <w:trHeight w:val="315"/>
        </w:trPr>
        <w:tc>
          <w:tcPr>
            <w:tcW w:w="3584" w:type="pct"/>
            <w:tcBorders>
              <w:top w:val="nil"/>
              <w:left w:val="single" w:sz="8" w:space="0" w:color="auto"/>
              <w:bottom w:val="single" w:sz="4" w:space="0" w:color="auto"/>
              <w:right w:val="single" w:sz="8" w:space="0" w:color="auto"/>
            </w:tcBorders>
            <w:shd w:val="clear" w:color="auto" w:fill="auto"/>
            <w:vAlign w:val="bottom"/>
            <w:hideMark/>
          </w:tcPr>
          <w:p w14:paraId="4770B3B9" w14:textId="77777777" w:rsidR="00980A44" w:rsidRPr="00980A44" w:rsidRDefault="00980A44" w:rsidP="00980A44">
            <w:pPr>
              <w:spacing w:after="0" w:line="240" w:lineRule="auto"/>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v.KDSP (Level 1&amp; 2Grant FY 2019/20 )</w:t>
            </w:r>
          </w:p>
        </w:tc>
        <w:tc>
          <w:tcPr>
            <w:tcW w:w="1416" w:type="pct"/>
            <w:tcBorders>
              <w:top w:val="nil"/>
              <w:left w:val="nil"/>
              <w:bottom w:val="single" w:sz="4" w:space="0" w:color="auto"/>
              <w:right w:val="single" w:sz="8" w:space="0" w:color="auto"/>
            </w:tcBorders>
            <w:shd w:val="clear" w:color="auto" w:fill="auto"/>
            <w:noWrap/>
            <w:vAlign w:val="bottom"/>
            <w:hideMark/>
          </w:tcPr>
          <w:p w14:paraId="49ABA4C3" w14:textId="0B98D659" w:rsidR="00980A44" w:rsidRPr="00980A44" w:rsidRDefault="00980A44" w:rsidP="00980A44">
            <w:pPr>
              <w:spacing w:after="0" w:line="240" w:lineRule="auto"/>
              <w:jc w:val="center"/>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277,949,744.40</w:t>
            </w:r>
          </w:p>
        </w:tc>
      </w:tr>
      <w:tr w:rsidR="00980A44" w:rsidRPr="00980A44" w14:paraId="6BC03442" w14:textId="77777777" w:rsidTr="00980A44">
        <w:trPr>
          <w:trHeight w:val="315"/>
        </w:trPr>
        <w:tc>
          <w:tcPr>
            <w:tcW w:w="3584" w:type="pct"/>
            <w:tcBorders>
              <w:top w:val="nil"/>
              <w:left w:val="single" w:sz="8" w:space="0" w:color="auto"/>
              <w:bottom w:val="single" w:sz="4" w:space="0" w:color="auto"/>
              <w:right w:val="single" w:sz="8" w:space="0" w:color="auto"/>
            </w:tcBorders>
            <w:shd w:val="clear" w:color="auto" w:fill="auto"/>
            <w:vAlign w:val="bottom"/>
            <w:hideMark/>
          </w:tcPr>
          <w:p w14:paraId="229482AA" w14:textId="77777777" w:rsidR="00980A44" w:rsidRPr="00980A44" w:rsidRDefault="00980A44" w:rsidP="00980A44">
            <w:pPr>
              <w:spacing w:after="0" w:line="240" w:lineRule="auto"/>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vi.Danida</w:t>
            </w:r>
          </w:p>
        </w:tc>
        <w:tc>
          <w:tcPr>
            <w:tcW w:w="1416" w:type="pct"/>
            <w:tcBorders>
              <w:top w:val="nil"/>
              <w:left w:val="nil"/>
              <w:bottom w:val="single" w:sz="4" w:space="0" w:color="auto"/>
              <w:right w:val="single" w:sz="8" w:space="0" w:color="auto"/>
            </w:tcBorders>
            <w:shd w:val="clear" w:color="auto" w:fill="auto"/>
            <w:noWrap/>
            <w:vAlign w:val="bottom"/>
            <w:hideMark/>
          </w:tcPr>
          <w:p w14:paraId="36656AD5" w14:textId="6C9EBA3D" w:rsidR="00980A44" w:rsidRPr="00980A44" w:rsidRDefault="00980A44" w:rsidP="00980A44">
            <w:pPr>
              <w:spacing w:after="0" w:line="240" w:lineRule="auto"/>
              <w:jc w:val="center"/>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25,340,625.00</w:t>
            </w:r>
          </w:p>
        </w:tc>
      </w:tr>
      <w:tr w:rsidR="00980A44" w:rsidRPr="00980A44" w14:paraId="3951FC44" w14:textId="77777777" w:rsidTr="00980A44">
        <w:trPr>
          <w:trHeight w:val="330"/>
        </w:trPr>
        <w:tc>
          <w:tcPr>
            <w:tcW w:w="3584" w:type="pct"/>
            <w:tcBorders>
              <w:top w:val="nil"/>
              <w:left w:val="single" w:sz="8" w:space="0" w:color="auto"/>
              <w:bottom w:val="nil"/>
              <w:right w:val="single" w:sz="8" w:space="0" w:color="auto"/>
            </w:tcBorders>
            <w:shd w:val="clear" w:color="auto" w:fill="auto"/>
            <w:vAlign w:val="bottom"/>
            <w:hideMark/>
          </w:tcPr>
          <w:p w14:paraId="47A1C1BC" w14:textId="77777777" w:rsidR="00980A44" w:rsidRPr="00980A44" w:rsidRDefault="00980A44" w:rsidP="00980A44">
            <w:pPr>
              <w:spacing w:after="0" w:line="240" w:lineRule="auto"/>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vii. GoK-ASDSP</w:t>
            </w:r>
          </w:p>
        </w:tc>
        <w:tc>
          <w:tcPr>
            <w:tcW w:w="1416" w:type="pct"/>
            <w:tcBorders>
              <w:top w:val="nil"/>
              <w:left w:val="nil"/>
              <w:bottom w:val="nil"/>
              <w:right w:val="single" w:sz="8" w:space="0" w:color="auto"/>
            </w:tcBorders>
            <w:shd w:val="clear" w:color="auto" w:fill="auto"/>
            <w:noWrap/>
            <w:vAlign w:val="bottom"/>
            <w:hideMark/>
          </w:tcPr>
          <w:p w14:paraId="23922995" w14:textId="776D6224" w:rsidR="00980A44" w:rsidRPr="00980A44" w:rsidRDefault="00980A44" w:rsidP="00980A44">
            <w:pPr>
              <w:spacing w:after="0" w:line="240" w:lineRule="auto"/>
              <w:jc w:val="center"/>
              <w:rPr>
                <w:rFonts w:ascii="Times New Roman" w:eastAsia="Times New Roman" w:hAnsi="Times New Roman" w:cs="Times New Roman"/>
                <w:color w:val="000000"/>
                <w:sz w:val="20"/>
                <w:szCs w:val="20"/>
              </w:rPr>
            </w:pPr>
            <w:r w:rsidRPr="00980A44">
              <w:rPr>
                <w:rFonts w:ascii="Times New Roman" w:eastAsia="Times New Roman" w:hAnsi="Times New Roman" w:cs="Times New Roman"/>
                <w:color w:val="000000"/>
                <w:sz w:val="20"/>
                <w:szCs w:val="20"/>
              </w:rPr>
              <w:t>18,735,721.54</w:t>
            </w:r>
          </w:p>
        </w:tc>
      </w:tr>
      <w:tr w:rsidR="00980A44" w:rsidRPr="00980A44" w14:paraId="6EAE6D01" w14:textId="77777777" w:rsidTr="00980A44">
        <w:trPr>
          <w:trHeight w:val="330"/>
        </w:trPr>
        <w:tc>
          <w:tcPr>
            <w:tcW w:w="3584"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19478CF4" w14:textId="77777777" w:rsidR="00980A44" w:rsidRPr="00980A44" w:rsidRDefault="00980A44" w:rsidP="00980A44">
            <w:pPr>
              <w:spacing w:after="0" w:line="240" w:lineRule="auto"/>
              <w:rPr>
                <w:rFonts w:ascii="Times New Roman" w:eastAsia="Times New Roman" w:hAnsi="Times New Roman" w:cs="Times New Roman"/>
                <w:b/>
                <w:bCs/>
                <w:color w:val="000000"/>
                <w:sz w:val="20"/>
                <w:szCs w:val="20"/>
              </w:rPr>
            </w:pPr>
            <w:r w:rsidRPr="00980A44">
              <w:rPr>
                <w:rFonts w:ascii="Times New Roman" w:eastAsia="Times New Roman" w:hAnsi="Times New Roman" w:cs="Times New Roman"/>
                <w:b/>
                <w:bCs/>
                <w:color w:val="000000"/>
                <w:sz w:val="20"/>
                <w:szCs w:val="20"/>
              </w:rPr>
              <w:t xml:space="preserve">Sub-Total </w:t>
            </w:r>
          </w:p>
        </w:tc>
        <w:tc>
          <w:tcPr>
            <w:tcW w:w="1416" w:type="pct"/>
            <w:tcBorders>
              <w:top w:val="single" w:sz="8" w:space="0" w:color="auto"/>
              <w:left w:val="nil"/>
              <w:bottom w:val="single" w:sz="8" w:space="0" w:color="auto"/>
              <w:right w:val="single" w:sz="8" w:space="0" w:color="auto"/>
            </w:tcBorders>
            <w:shd w:val="clear" w:color="auto" w:fill="auto"/>
            <w:noWrap/>
            <w:vAlign w:val="bottom"/>
            <w:hideMark/>
          </w:tcPr>
          <w:p w14:paraId="68F734B8" w14:textId="51171248" w:rsidR="00980A44" w:rsidRPr="00980A44" w:rsidRDefault="00980A44" w:rsidP="00980A44">
            <w:pPr>
              <w:spacing w:after="0" w:line="240" w:lineRule="auto"/>
              <w:jc w:val="center"/>
              <w:rPr>
                <w:rFonts w:ascii="Times New Roman" w:eastAsia="Times New Roman" w:hAnsi="Times New Roman" w:cs="Times New Roman"/>
                <w:b/>
                <w:bCs/>
                <w:color w:val="000000"/>
                <w:sz w:val="20"/>
                <w:szCs w:val="20"/>
              </w:rPr>
            </w:pPr>
            <w:r w:rsidRPr="00980A44">
              <w:rPr>
                <w:rFonts w:ascii="Times New Roman" w:eastAsia="Times New Roman" w:hAnsi="Times New Roman" w:cs="Times New Roman"/>
                <w:b/>
                <w:bCs/>
                <w:color w:val="000000"/>
                <w:sz w:val="20"/>
                <w:szCs w:val="20"/>
              </w:rPr>
              <w:t>800,999,789.74</w:t>
            </w:r>
          </w:p>
        </w:tc>
      </w:tr>
      <w:tr w:rsidR="00980A44" w:rsidRPr="00980A44" w14:paraId="4188F3AA" w14:textId="77777777" w:rsidTr="00980A44">
        <w:trPr>
          <w:trHeight w:val="330"/>
        </w:trPr>
        <w:tc>
          <w:tcPr>
            <w:tcW w:w="3584" w:type="pct"/>
            <w:tcBorders>
              <w:top w:val="nil"/>
              <w:left w:val="single" w:sz="8" w:space="0" w:color="auto"/>
              <w:bottom w:val="single" w:sz="8" w:space="0" w:color="auto"/>
              <w:right w:val="single" w:sz="8" w:space="0" w:color="auto"/>
            </w:tcBorders>
            <w:shd w:val="clear" w:color="auto" w:fill="auto"/>
            <w:vAlign w:val="center"/>
            <w:hideMark/>
          </w:tcPr>
          <w:p w14:paraId="3498AA5D" w14:textId="77777777" w:rsidR="00980A44" w:rsidRPr="00980A44" w:rsidRDefault="00980A44" w:rsidP="00980A44">
            <w:pPr>
              <w:spacing w:after="0" w:line="240" w:lineRule="auto"/>
              <w:rPr>
                <w:rFonts w:ascii="Times New Roman" w:eastAsia="Times New Roman" w:hAnsi="Times New Roman" w:cs="Times New Roman"/>
                <w:b/>
                <w:bCs/>
                <w:color w:val="000000"/>
                <w:sz w:val="20"/>
                <w:szCs w:val="20"/>
              </w:rPr>
            </w:pPr>
            <w:r w:rsidRPr="00980A44">
              <w:rPr>
                <w:rFonts w:ascii="Times New Roman" w:eastAsia="Times New Roman" w:hAnsi="Times New Roman" w:cs="Times New Roman"/>
                <w:b/>
                <w:bCs/>
                <w:color w:val="000000"/>
                <w:sz w:val="20"/>
                <w:szCs w:val="20"/>
              </w:rPr>
              <w:t>TOTAL BUDGET</w:t>
            </w:r>
          </w:p>
        </w:tc>
        <w:tc>
          <w:tcPr>
            <w:tcW w:w="1416" w:type="pct"/>
            <w:tcBorders>
              <w:top w:val="nil"/>
              <w:left w:val="nil"/>
              <w:bottom w:val="single" w:sz="8" w:space="0" w:color="auto"/>
              <w:right w:val="single" w:sz="8" w:space="0" w:color="auto"/>
            </w:tcBorders>
            <w:shd w:val="clear" w:color="auto" w:fill="auto"/>
            <w:noWrap/>
            <w:vAlign w:val="bottom"/>
            <w:hideMark/>
          </w:tcPr>
          <w:p w14:paraId="5FCC73F2" w14:textId="19A6DBAD" w:rsidR="00980A44" w:rsidRPr="00980A44" w:rsidRDefault="00980A44" w:rsidP="00980A44">
            <w:pPr>
              <w:spacing w:after="0" w:line="240" w:lineRule="auto"/>
              <w:jc w:val="center"/>
              <w:rPr>
                <w:rFonts w:ascii="Times New Roman" w:eastAsia="Times New Roman" w:hAnsi="Times New Roman" w:cs="Times New Roman"/>
                <w:b/>
                <w:bCs/>
                <w:color w:val="000000"/>
                <w:sz w:val="20"/>
                <w:szCs w:val="20"/>
              </w:rPr>
            </w:pPr>
            <w:r w:rsidRPr="00980A44">
              <w:rPr>
                <w:rFonts w:ascii="Times New Roman" w:eastAsia="Times New Roman" w:hAnsi="Times New Roman" w:cs="Times New Roman"/>
                <w:b/>
                <w:bCs/>
                <w:color w:val="000000"/>
                <w:sz w:val="20"/>
                <w:szCs w:val="20"/>
              </w:rPr>
              <w:t>10,436,701,620.50</w:t>
            </w:r>
          </w:p>
        </w:tc>
      </w:tr>
    </w:tbl>
    <w:p w14:paraId="19588C07" w14:textId="77777777" w:rsidR="008411AD" w:rsidRPr="008411AD" w:rsidRDefault="008411AD" w:rsidP="002154A1">
      <w:pPr>
        <w:jc w:val="both"/>
        <w:rPr>
          <w:rFonts w:ascii="Times New Roman" w:hAnsi="Times New Roman" w:cs="Times New Roman"/>
          <w:b/>
          <w:sz w:val="24"/>
          <w:szCs w:val="24"/>
        </w:rPr>
      </w:pPr>
    </w:p>
    <w:p w14:paraId="248BC43E" w14:textId="77777777" w:rsidR="008411AD" w:rsidRDefault="008411AD" w:rsidP="002154A1">
      <w:pPr>
        <w:jc w:val="both"/>
        <w:rPr>
          <w:rFonts w:ascii="Times New Roman" w:hAnsi="Times New Roman" w:cs="Times New Roman"/>
          <w:sz w:val="24"/>
          <w:szCs w:val="24"/>
        </w:rPr>
      </w:pPr>
    </w:p>
    <w:p w14:paraId="20F44D93" w14:textId="1041F841" w:rsidR="008411AD" w:rsidRDefault="00B54694" w:rsidP="00B54694">
      <w:pPr>
        <w:tabs>
          <w:tab w:val="left" w:pos="3754"/>
        </w:tabs>
        <w:jc w:val="both"/>
        <w:rPr>
          <w:rFonts w:ascii="Times New Roman" w:hAnsi="Times New Roman" w:cs="Times New Roman"/>
          <w:sz w:val="24"/>
          <w:szCs w:val="24"/>
        </w:rPr>
      </w:pPr>
      <w:r>
        <w:rPr>
          <w:rFonts w:ascii="Times New Roman" w:hAnsi="Times New Roman" w:cs="Times New Roman"/>
          <w:sz w:val="24"/>
          <w:szCs w:val="24"/>
        </w:rPr>
        <w:tab/>
      </w:r>
    </w:p>
    <w:p w14:paraId="21BCCD38" w14:textId="77777777" w:rsidR="006B5957" w:rsidRDefault="006B5957" w:rsidP="00B54694">
      <w:pPr>
        <w:tabs>
          <w:tab w:val="left" w:pos="3754"/>
        </w:tabs>
        <w:jc w:val="both"/>
        <w:rPr>
          <w:rFonts w:ascii="Times New Roman" w:hAnsi="Times New Roman" w:cs="Times New Roman"/>
          <w:sz w:val="24"/>
          <w:szCs w:val="24"/>
        </w:rPr>
      </w:pPr>
    </w:p>
    <w:p w14:paraId="43266C93" w14:textId="77777777" w:rsidR="008411AD" w:rsidRDefault="008411AD" w:rsidP="002154A1">
      <w:pPr>
        <w:jc w:val="both"/>
        <w:rPr>
          <w:rFonts w:ascii="Times New Roman" w:hAnsi="Times New Roman" w:cs="Times New Roman"/>
          <w:sz w:val="24"/>
          <w:szCs w:val="24"/>
        </w:rPr>
      </w:pPr>
    </w:p>
    <w:p w14:paraId="34202316" w14:textId="77777777" w:rsidR="008411AD" w:rsidRPr="002154A1" w:rsidRDefault="008411AD" w:rsidP="002154A1">
      <w:pPr>
        <w:jc w:val="both"/>
        <w:rPr>
          <w:rFonts w:ascii="Times New Roman" w:hAnsi="Times New Roman" w:cs="Times New Roman"/>
          <w:sz w:val="24"/>
          <w:szCs w:val="24"/>
        </w:rPr>
      </w:pPr>
    </w:p>
    <w:p w14:paraId="4AB8EEE4" w14:textId="77777777" w:rsidR="002154A1" w:rsidRPr="002154A1" w:rsidRDefault="002154A1" w:rsidP="000769D8">
      <w:pPr>
        <w:numPr>
          <w:ilvl w:val="0"/>
          <w:numId w:val="23"/>
        </w:numPr>
        <w:jc w:val="both"/>
        <w:rPr>
          <w:rFonts w:ascii="Times New Roman" w:hAnsi="Times New Roman" w:cs="Times New Roman"/>
          <w:b/>
          <w:sz w:val="24"/>
          <w:szCs w:val="24"/>
        </w:rPr>
      </w:pPr>
      <w:r w:rsidRPr="002154A1">
        <w:rPr>
          <w:rFonts w:ascii="Times New Roman" w:hAnsi="Times New Roman" w:cs="Times New Roman"/>
          <w:b/>
          <w:sz w:val="24"/>
          <w:szCs w:val="24"/>
        </w:rPr>
        <w:t>Expenditure Projections</w:t>
      </w:r>
    </w:p>
    <w:p w14:paraId="33B18EC0" w14:textId="1B6AD6CF" w:rsidR="002154A1" w:rsidRPr="002154A1" w:rsidRDefault="002154A1" w:rsidP="002154A1">
      <w:pPr>
        <w:jc w:val="both"/>
        <w:rPr>
          <w:rFonts w:ascii="Times New Roman" w:hAnsi="Times New Roman" w:cs="Times New Roman"/>
          <w:sz w:val="24"/>
          <w:szCs w:val="24"/>
        </w:rPr>
      </w:pPr>
      <w:r w:rsidRPr="002154A1">
        <w:rPr>
          <w:rFonts w:ascii="Times New Roman" w:hAnsi="Times New Roman" w:cs="Times New Roman"/>
          <w:sz w:val="24"/>
          <w:szCs w:val="24"/>
        </w:rPr>
        <w:t>The County Integrated Development Plan (2018-</w:t>
      </w:r>
      <w:r w:rsidR="00B54694">
        <w:rPr>
          <w:rFonts w:ascii="Times New Roman" w:hAnsi="Times New Roman" w:cs="Times New Roman"/>
          <w:sz w:val="24"/>
          <w:szCs w:val="24"/>
        </w:rPr>
        <w:t>2022),</w:t>
      </w:r>
      <w:r w:rsidR="00B54694" w:rsidRPr="00B54694">
        <w:rPr>
          <w:rFonts w:ascii="Times New Roman" w:hAnsi="Times New Roman" w:cs="Times New Roman"/>
          <w:sz w:val="24"/>
          <w:szCs w:val="24"/>
        </w:rPr>
        <w:t xml:space="preserve"> </w:t>
      </w:r>
      <w:r w:rsidR="00B54694">
        <w:rPr>
          <w:rFonts w:ascii="Times New Roman" w:hAnsi="Times New Roman" w:cs="Times New Roman"/>
          <w:sz w:val="24"/>
          <w:szCs w:val="24"/>
        </w:rPr>
        <w:t xml:space="preserve">County Vision 2040 </w:t>
      </w:r>
      <w:r w:rsidRPr="002154A1">
        <w:rPr>
          <w:rFonts w:ascii="Times New Roman" w:hAnsi="Times New Roman" w:cs="Times New Roman"/>
          <w:sz w:val="24"/>
          <w:szCs w:val="24"/>
        </w:rPr>
        <w:t>and the Medium Term Plan III of Kenya Vision 2030</w:t>
      </w:r>
      <w:r w:rsidR="00630244">
        <w:rPr>
          <w:rFonts w:ascii="Times New Roman" w:hAnsi="Times New Roman" w:cs="Times New Roman"/>
          <w:sz w:val="24"/>
          <w:szCs w:val="24"/>
        </w:rPr>
        <w:t xml:space="preserve"> and </w:t>
      </w:r>
      <w:r w:rsidRPr="002154A1">
        <w:rPr>
          <w:rFonts w:ascii="Times New Roman" w:hAnsi="Times New Roman" w:cs="Times New Roman"/>
          <w:sz w:val="24"/>
          <w:szCs w:val="24"/>
        </w:rPr>
        <w:t>are the key policy documents that will guide the county gov</w:t>
      </w:r>
      <w:r w:rsidR="00B54694">
        <w:rPr>
          <w:rFonts w:ascii="Times New Roman" w:hAnsi="Times New Roman" w:cs="Times New Roman"/>
          <w:sz w:val="24"/>
          <w:szCs w:val="24"/>
        </w:rPr>
        <w:t xml:space="preserve">ernment spending decisions. </w:t>
      </w:r>
      <w:r w:rsidRPr="002154A1">
        <w:rPr>
          <w:rFonts w:ascii="Times New Roman" w:hAnsi="Times New Roman" w:cs="Times New Roman"/>
          <w:sz w:val="24"/>
          <w:szCs w:val="24"/>
        </w:rPr>
        <w:t>Vision 2030 provides the overarching long term nationa</w:t>
      </w:r>
      <w:r w:rsidR="00B54694">
        <w:rPr>
          <w:rFonts w:ascii="Times New Roman" w:hAnsi="Times New Roman" w:cs="Times New Roman"/>
          <w:sz w:val="24"/>
          <w:szCs w:val="24"/>
        </w:rPr>
        <w:t xml:space="preserve">l development agenda, while </w:t>
      </w:r>
      <w:r w:rsidRPr="002154A1">
        <w:rPr>
          <w:rFonts w:ascii="Times New Roman" w:hAnsi="Times New Roman" w:cs="Times New Roman"/>
          <w:sz w:val="24"/>
          <w:szCs w:val="24"/>
        </w:rPr>
        <w:t>CIDP</w:t>
      </w:r>
      <w:r w:rsidR="003D7052">
        <w:rPr>
          <w:rFonts w:ascii="Times New Roman" w:hAnsi="Times New Roman" w:cs="Times New Roman"/>
          <w:sz w:val="24"/>
          <w:szCs w:val="24"/>
        </w:rPr>
        <w:t xml:space="preserve"> and v</w:t>
      </w:r>
      <w:r w:rsidR="00B54694">
        <w:rPr>
          <w:rFonts w:ascii="Times New Roman" w:hAnsi="Times New Roman" w:cs="Times New Roman"/>
          <w:sz w:val="24"/>
          <w:szCs w:val="24"/>
        </w:rPr>
        <w:t>i</w:t>
      </w:r>
      <w:r w:rsidR="003D7052">
        <w:rPr>
          <w:rFonts w:ascii="Times New Roman" w:hAnsi="Times New Roman" w:cs="Times New Roman"/>
          <w:sz w:val="24"/>
          <w:szCs w:val="24"/>
        </w:rPr>
        <w:t>sion 2040</w:t>
      </w:r>
      <w:r w:rsidRPr="002154A1">
        <w:rPr>
          <w:rFonts w:ascii="Times New Roman" w:hAnsi="Times New Roman" w:cs="Times New Roman"/>
          <w:sz w:val="24"/>
          <w:szCs w:val="24"/>
        </w:rPr>
        <w:t xml:space="preserve"> sets out the county medium</w:t>
      </w:r>
      <w:r w:rsidR="003D7052">
        <w:rPr>
          <w:rFonts w:ascii="Times New Roman" w:hAnsi="Times New Roman" w:cs="Times New Roman"/>
          <w:sz w:val="24"/>
          <w:szCs w:val="24"/>
        </w:rPr>
        <w:t xml:space="preserve"> and long term development plans</w:t>
      </w:r>
      <w:r w:rsidRPr="002154A1">
        <w:rPr>
          <w:rFonts w:ascii="Times New Roman" w:hAnsi="Times New Roman" w:cs="Times New Roman"/>
          <w:sz w:val="24"/>
          <w:szCs w:val="24"/>
        </w:rPr>
        <w:t xml:space="preserve"> term</w:t>
      </w:r>
      <w:r w:rsidR="003D7052">
        <w:rPr>
          <w:rFonts w:ascii="Times New Roman" w:hAnsi="Times New Roman" w:cs="Times New Roman"/>
          <w:sz w:val="24"/>
          <w:szCs w:val="24"/>
        </w:rPr>
        <w:t>.</w:t>
      </w:r>
      <w:r w:rsidRPr="002154A1">
        <w:rPr>
          <w:rFonts w:ascii="Times New Roman" w:hAnsi="Times New Roman" w:cs="Times New Roman"/>
          <w:sz w:val="24"/>
          <w:szCs w:val="24"/>
        </w:rPr>
        <w:t xml:space="preserve"> Taking this into account, the overall expenditure for FY 2020/21 are projected at </w:t>
      </w:r>
      <w:r w:rsidR="00914039">
        <w:rPr>
          <w:rFonts w:ascii="Times New Roman" w:hAnsi="Times New Roman" w:cs="Times New Roman"/>
          <w:sz w:val="24"/>
          <w:szCs w:val="24"/>
        </w:rPr>
        <w:t>Kshs</w:t>
      </w:r>
      <w:r w:rsidR="00D51AC6">
        <w:rPr>
          <w:rFonts w:ascii="Times New Roman" w:hAnsi="Times New Roman" w:cs="Times New Roman"/>
          <w:sz w:val="24"/>
          <w:szCs w:val="24"/>
        </w:rPr>
        <w:t>.10.436</w:t>
      </w:r>
      <w:r w:rsidRPr="002154A1">
        <w:rPr>
          <w:rFonts w:ascii="Times New Roman" w:hAnsi="Times New Roman" w:cs="Times New Roman"/>
          <w:sz w:val="24"/>
          <w:szCs w:val="24"/>
        </w:rPr>
        <w:t xml:space="preserve"> billion up from </w:t>
      </w:r>
      <w:r w:rsidR="00914039">
        <w:rPr>
          <w:rFonts w:ascii="Times New Roman" w:hAnsi="Times New Roman" w:cs="Times New Roman"/>
          <w:sz w:val="24"/>
          <w:szCs w:val="24"/>
        </w:rPr>
        <w:t>Kshs</w:t>
      </w:r>
      <w:r w:rsidRPr="002154A1">
        <w:rPr>
          <w:rFonts w:ascii="Times New Roman" w:hAnsi="Times New Roman" w:cs="Times New Roman"/>
          <w:sz w:val="24"/>
          <w:szCs w:val="24"/>
        </w:rPr>
        <w:t xml:space="preserve">.10.607 billion in the FY 2019/20. These expenditures comprise among others, recurrent of </w:t>
      </w:r>
      <w:r w:rsidR="00914039">
        <w:rPr>
          <w:rFonts w:ascii="Times New Roman" w:hAnsi="Times New Roman" w:cs="Times New Roman"/>
          <w:sz w:val="24"/>
          <w:szCs w:val="24"/>
        </w:rPr>
        <w:t>Kshs</w:t>
      </w:r>
      <w:r w:rsidR="00D51AC6">
        <w:rPr>
          <w:rFonts w:ascii="Times New Roman" w:hAnsi="Times New Roman" w:cs="Times New Roman"/>
          <w:sz w:val="24"/>
          <w:szCs w:val="24"/>
        </w:rPr>
        <w:t xml:space="preserve"> 7.305</w:t>
      </w:r>
      <w:r w:rsidRPr="002154A1">
        <w:rPr>
          <w:rFonts w:ascii="Times New Roman" w:hAnsi="Times New Roman" w:cs="Times New Roman"/>
          <w:sz w:val="24"/>
          <w:szCs w:val="24"/>
        </w:rPr>
        <w:t xml:space="preserve"> billion and development of </w:t>
      </w:r>
      <w:r w:rsidR="00914039">
        <w:rPr>
          <w:rFonts w:ascii="Times New Roman" w:hAnsi="Times New Roman" w:cs="Times New Roman"/>
          <w:sz w:val="24"/>
          <w:szCs w:val="24"/>
        </w:rPr>
        <w:t>Kshs</w:t>
      </w:r>
      <w:r w:rsidR="00D51AC6">
        <w:rPr>
          <w:rFonts w:ascii="Times New Roman" w:hAnsi="Times New Roman" w:cs="Times New Roman"/>
          <w:sz w:val="24"/>
          <w:szCs w:val="24"/>
        </w:rPr>
        <w:t>.3.131</w:t>
      </w:r>
      <w:r w:rsidRPr="002154A1">
        <w:rPr>
          <w:rFonts w:ascii="Times New Roman" w:hAnsi="Times New Roman" w:cs="Times New Roman"/>
          <w:sz w:val="24"/>
          <w:szCs w:val="24"/>
        </w:rPr>
        <w:t xml:space="preserve"> billion.</w:t>
      </w:r>
    </w:p>
    <w:p w14:paraId="3DBE2122" w14:textId="3EC25F9E" w:rsidR="002154A1" w:rsidRPr="002154A1" w:rsidRDefault="002154A1" w:rsidP="002154A1">
      <w:pPr>
        <w:jc w:val="both"/>
        <w:rPr>
          <w:rFonts w:ascii="Times New Roman" w:hAnsi="Times New Roman" w:cs="Times New Roman"/>
          <w:sz w:val="24"/>
          <w:szCs w:val="24"/>
        </w:rPr>
      </w:pPr>
      <w:r w:rsidRPr="002154A1">
        <w:rPr>
          <w:rFonts w:ascii="Times New Roman" w:hAnsi="Times New Roman" w:cs="Times New Roman"/>
          <w:sz w:val="24"/>
          <w:szCs w:val="24"/>
        </w:rPr>
        <w:t xml:space="preserve">Recurrent expenditure of </w:t>
      </w:r>
      <w:r w:rsidR="00914039">
        <w:rPr>
          <w:rFonts w:ascii="Times New Roman" w:hAnsi="Times New Roman" w:cs="Times New Roman"/>
          <w:sz w:val="24"/>
          <w:szCs w:val="24"/>
        </w:rPr>
        <w:t>Kshs</w:t>
      </w:r>
      <w:r w:rsidR="00D51AC6">
        <w:rPr>
          <w:rFonts w:ascii="Times New Roman" w:hAnsi="Times New Roman" w:cs="Times New Roman"/>
          <w:sz w:val="24"/>
          <w:szCs w:val="24"/>
        </w:rPr>
        <w:t>.7.305</w:t>
      </w:r>
      <w:r w:rsidR="00B54694">
        <w:rPr>
          <w:rFonts w:ascii="Times New Roman" w:hAnsi="Times New Roman" w:cs="Times New Roman"/>
          <w:sz w:val="24"/>
          <w:szCs w:val="24"/>
        </w:rPr>
        <w:t xml:space="preserve"> billion</w:t>
      </w:r>
      <w:r w:rsidRPr="002154A1">
        <w:rPr>
          <w:rFonts w:ascii="Times New Roman" w:hAnsi="Times New Roman" w:cs="Times New Roman"/>
          <w:sz w:val="24"/>
          <w:szCs w:val="24"/>
        </w:rPr>
        <w:t xml:space="preserve"> is inclusive of salaries and remuneration for employees amounting to </w:t>
      </w:r>
      <w:r w:rsidR="00914039">
        <w:rPr>
          <w:rFonts w:ascii="Times New Roman" w:hAnsi="Times New Roman" w:cs="Times New Roman"/>
          <w:sz w:val="24"/>
          <w:szCs w:val="24"/>
        </w:rPr>
        <w:t>Kshs</w:t>
      </w:r>
      <w:r w:rsidR="00D51AC6">
        <w:rPr>
          <w:rFonts w:ascii="Times New Roman" w:hAnsi="Times New Roman" w:cs="Times New Roman"/>
          <w:sz w:val="24"/>
          <w:szCs w:val="24"/>
        </w:rPr>
        <w:t>.5.239</w:t>
      </w:r>
      <w:r w:rsidRPr="002154A1">
        <w:rPr>
          <w:rFonts w:ascii="Times New Roman" w:hAnsi="Times New Roman" w:cs="Times New Roman"/>
          <w:sz w:val="24"/>
          <w:szCs w:val="24"/>
        </w:rPr>
        <w:t xml:space="preserve"> and </w:t>
      </w:r>
      <w:r w:rsidR="00914039">
        <w:rPr>
          <w:rFonts w:ascii="Times New Roman" w:hAnsi="Times New Roman" w:cs="Times New Roman"/>
          <w:sz w:val="24"/>
          <w:szCs w:val="24"/>
        </w:rPr>
        <w:t>Kshs</w:t>
      </w:r>
      <w:r w:rsidR="00D51AC6">
        <w:rPr>
          <w:rFonts w:ascii="Times New Roman" w:hAnsi="Times New Roman" w:cs="Times New Roman"/>
          <w:sz w:val="24"/>
          <w:szCs w:val="24"/>
        </w:rPr>
        <w:t>.2.067</w:t>
      </w:r>
      <w:r w:rsidRPr="002154A1">
        <w:rPr>
          <w:rFonts w:ascii="Times New Roman" w:hAnsi="Times New Roman" w:cs="Times New Roman"/>
          <w:sz w:val="24"/>
          <w:szCs w:val="24"/>
        </w:rPr>
        <w:t xml:space="preserve"> use of goods and services. The county government will continue to enhance expenditure productivity in the proposed year and manage the rising wage bill to be within the required limit as required in section 107 of PFM Act 2012.</w:t>
      </w:r>
    </w:p>
    <w:p w14:paraId="4209F6D5" w14:textId="77777777" w:rsidR="002154A1" w:rsidRPr="002154A1" w:rsidRDefault="002154A1" w:rsidP="002154A1">
      <w:pPr>
        <w:jc w:val="both"/>
        <w:rPr>
          <w:rFonts w:ascii="Times New Roman" w:hAnsi="Times New Roman" w:cs="Times New Roman"/>
          <w:sz w:val="24"/>
          <w:szCs w:val="24"/>
        </w:rPr>
      </w:pPr>
      <w:r w:rsidRPr="002154A1">
        <w:rPr>
          <w:rFonts w:ascii="Times New Roman" w:hAnsi="Times New Roman" w:cs="Times New Roman"/>
          <w:sz w:val="24"/>
          <w:szCs w:val="24"/>
        </w:rPr>
        <w:t>The government will continue to channel more resources in implementation of projects within the sectors with great impact to the community as indicated in the proposed ceilings below;</w:t>
      </w:r>
    </w:p>
    <w:p w14:paraId="267C1A9F" w14:textId="41CD9B81" w:rsidR="00CA72DE" w:rsidRPr="00766EF1" w:rsidRDefault="00CA72DE" w:rsidP="00D62C62">
      <w:pPr>
        <w:jc w:val="both"/>
        <w:rPr>
          <w:rFonts w:ascii="Times New Roman" w:hAnsi="Times New Roman" w:cs="Times New Roman"/>
          <w:sz w:val="24"/>
          <w:szCs w:val="24"/>
        </w:rPr>
      </w:pPr>
    </w:p>
    <w:p w14:paraId="021613D7" w14:textId="77777777" w:rsidR="00BC4546" w:rsidRPr="00766EF1" w:rsidRDefault="00BC4546" w:rsidP="00CA72DE">
      <w:pPr>
        <w:rPr>
          <w:rFonts w:ascii="Times New Roman" w:hAnsi="Times New Roman" w:cs="Times New Roman"/>
          <w:sz w:val="24"/>
          <w:szCs w:val="24"/>
        </w:rPr>
        <w:sectPr w:rsidR="00BC4546" w:rsidRPr="00766EF1" w:rsidSect="00CC7824">
          <w:pgSz w:w="11907" w:h="16839" w:code="9"/>
          <w:pgMar w:top="1440" w:right="1440" w:bottom="1440" w:left="1440" w:header="720" w:footer="720" w:gutter="0"/>
          <w:cols w:space="720"/>
          <w:docGrid w:linePitch="360"/>
        </w:sectPr>
      </w:pPr>
    </w:p>
    <w:p w14:paraId="67957AEB" w14:textId="5AE5067F" w:rsidR="002F64D4" w:rsidRDefault="00BC4546" w:rsidP="002F64D4">
      <w:pPr>
        <w:spacing w:before="100" w:beforeAutospacing="1" w:after="240" w:line="240" w:lineRule="auto"/>
        <w:rPr>
          <w:rFonts w:ascii="Times New Roman" w:hAnsi="Times New Roman" w:cs="Times New Roman"/>
          <w:b/>
          <w:bCs/>
          <w:spacing w:val="1"/>
          <w:sz w:val="24"/>
          <w:szCs w:val="24"/>
        </w:rPr>
        <w:sectPr w:rsidR="002F64D4" w:rsidSect="00BC4546">
          <w:pgSz w:w="16839" w:h="11907" w:orient="landscape" w:code="9"/>
          <w:pgMar w:top="1440" w:right="1440" w:bottom="1440" w:left="1440" w:header="720" w:footer="720" w:gutter="0"/>
          <w:cols w:space="720"/>
          <w:docGrid w:linePitch="360"/>
        </w:sectPr>
      </w:pPr>
      <w:r w:rsidRPr="00766EF1">
        <w:rPr>
          <w:rFonts w:ascii="Times New Roman" w:hAnsi="Times New Roman" w:cs="Times New Roman"/>
          <w:b/>
          <w:bCs/>
          <w:spacing w:val="1"/>
          <w:sz w:val="24"/>
          <w:szCs w:val="24"/>
        </w:rPr>
        <w:lastRenderedPageBreak/>
        <w:t xml:space="preserve">Table </w:t>
      </w:r>
      <w:r w:rsidR="00DA74EB" w:rsidRPr="00766EF1">
        <w:rPr>
          <w:rFonts w:ascii="Times New Roman" w:hAnsi="Times New Roman" w:cs="Times New Roman"/>
          <w:b/>
          <w:bCs/>
          <w:spacing w:val="1"/>
          <w:sz w:val="24"/>
          <w:szCs w:val="24"/>
        </w:rPr>
        <w:t>2.</w:t>
      </w:r>
      <w:r w:rsidR="008944EF" w:rsidRPr="00766EF1">
        <w:rPr>
          <w:rFonts w:ascii="Times New Roman" w:hAnsi="Times New Roman" w:cs="Times New Roman"/>
          <w:b/>
          <w:bCs/>
          <w:spacing w:val="1"/>
          <w:sz w:val="24"/>
          <w:szCs w:val="24"/>
        </w:rPr>
        <w:t>5 Summary of Indicative Department</w:t>
      </w:r>
      <w:r w:rsidR="008411AD">
        <w:rPr>
          <w:rFonts w:ascii="Times New Roman" w:hAnsi="Times New Roman" w:cs="Times New Roman"/>
          <w:b/>
          <w:bCs/>
          <w:spacing w:val="1"/>
          <w:sz w:val="24"/>
          <w:szCs w:val="24"/>
        </w:rPr>
        <w:t xml:space="preserve"> Ceilings for FY 2020/21</w:t>
      </w:r>
      <w:r w:rsidR="00D21942">
        <w:rPr>
          <w:rFonts w:ascii="Times New Roman" w:hAnsi="Times New Roman" w:cs="Times New Roman"/>
          <w:b/>
          <w:bCs/>
          <w:spacing w:val="1"/>
          <w:sz w:val="24"/>
          <w:szCs w:val="24"/>
        </w:rPr>
        <w:t xml:space="preserve"> MTEF</w:t>
      </w:r>
    </w:p>
    <w:p w14:paraId="7B352CAF" w14:textId="77777777" w:rsidR="00A95382" w:rsidRDefault="00A95382" w:rsidP="00BC4546">
      <w:pPr>
        <w:spacing w:before="9" w:after="172" w:line="276" w:lineRule="exact"/>
        <w:rPr>
          <w:rFonts w:ascii="Times New Roman" w:hAnsi="Times New Roman" w:cs="Times New Roman"/>
          <w:b/>
          <w:bCs/>
          <w:spacing w:val="1"/>
          <w:sz w:val="24"/>
          <w:szCs w:val="24"/>
        </w:rPr>
      </w:pPr>
    </w:p>
    <w:tbl>
      <w:tblPr>
        <w:tblW w:w="5000" w:type="pct"/>
        <w:tblLook w:val="04A0" w:firstRow="1" w:lastRow="0" w:firstColumn="1" w:lastColumn="0" w:noHBand="0" w:noVBand="1"/>
      </w:tblPr>
      <w:tblGrid>
        <w:gridCol w:w="3318"/>
        <w:gridCol w:w="1186"/>
        <w:gridCol w:w="1509"/>
        <w:gridCol w:w="1539"/>
        <w:gridCol w:w="1409"/>
        <w:gridCol w:w="1476"/>
        <w:gridCol w:w="966"/>
        <w:gridCol w:w="880"/>
        <w:gridCol w:w="849"/>
        <w:gridCol w:w="807"/>
      </w:tblGrid>
      <w:tr w:rsidR="00D21942" w:rsidRPr="00D21942" w14:paraId="5938986C" w14:textId="77777777" w:rsidTr="00D21942">
        <w:trPr>
          <w:trHeight w:val="330"/>
        </w:trPr>
        <w:tc>
          <w:tcPr>
            <w:tcW w:w="5000" w:type="pct"/>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29C3D7C0"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Table 2.5 Summary of Indicative Departmental Ceilings for FY 2020/21 MTEF</w:t>
            </w:r>
          </w:p>
        </w:tc>
      </w:tr>
      <w:tr w:rsidR="00D21942" w:rsidRPr="00D21942" w14:paraId="1409573C" w14:textId="77777777" w:rsidTr="00D21942">
        <w:trPr>
          <w:trHeight w:val="330"/>
        </w:trPr>
        <w:tc>
          <w:tcPr>
            <w:tcW w:w="1207" w:type="pct"/>
            <w:vMerge w:val="restart"/>
            <w:tcBorders>
              <w:top w:val="nil"/>
              <w:left w:val="single" w:sz="8" w:space="0" w:color="auto"/>
              <w:bottom w:val="single" w:sz="4" w:space="0" w:color="auto"/>
              <w:right w:val="single" w:sz="8" w:space="0" w:color="auto"/>
            </w:tcBorders>
            <w:shd w:val="clear" w:color="auto" w:fill="auto"/>
            <w:vAlign w:val="center"/>
            <w:hideMark/>
          </w:tcPr>
          <w:p w14:paraId="6B3C3F7F"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Departments</w:t>
            </w:r>
          </w:p>
        </w:tc>
        <w:tc>
          <w:tcPr>
            <w:tcW w:w="406" w:type="pct"/>
            <w:tcBorders>
              <w:top w:val="nil"/>
              <w:left w:val="nil"/>
              <w:bottom w:val="single" w:sz="8" w:space="0" w:color="auto"/>
              <w:right w:val="single" w:sz="8" w:space="0" w:color="auto"/>
            </w:tcBorders>
            <w:shd w:val="clear" w:color="auto" w:fill="auto"/>
            <w:vAlign w:val="center"/>
            <w:hideMark/>
          </w:tcPr>
          <w:p w14:paraId="015CEA4B"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w:t>
            </w:r>
          </w:p>
        </w:tc>
        <w:tc>
          <w:tcPr>
            <w:tcW w:w="558" w:type="pct"/>
            <w:tcBorders>
              <w:top w:val="nil"/>
              <w:left w:val="nil"/>
              <w:bottom w:val="single" w:sz="8" w:space="0" w:color="auto"/>
              <w:right w:val="single" w:sz="8" w:space="0" w:color="auto"/>
            </w:tcBorders>
            <w:shd w:val="clear" w:color="auto" w:fill="auto"/>
            <w:vAlign w:val="center"/>
            <w:hideMark/>
          </w:tcPr>
          <w:p w14:paraId="6494FC29" w14:textId="77777777" w:rsidR="00D21942" w:rsidRPr="00D21942" w:rsidRDefault="00D21942" w:rsidP="00D21942">
            <w:pPr>
              <w:spacing w:after="0" w:line="240" w:lineRule="auto"/>
              <w:jc w:val="right"/>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Revised Estimates </w:t>
            </w:r>
          </w:p>
        </w:tc>
        <w:tc>
          <w:tcPr>
            <w:tcW w:w="569" w:type="pct"/>
            <w:tcBorders>
              <w:top w:val="nil"/>
              <w:left w:val="nil"/>
              <w:bottom w:val="single" w:sz="8" w:space="0" w:color="auto"/>
              <w:right w:val="single" w:sz="8" w:space="0" w:color="auto"/>
            </w:tcBorders>
            <w:shd w:val="clear" w:color="auto" w:fill="auto"/>
            <w:vAlign w:val="center"/>
            <w:hideMark/>
          </w:tcPr>
          <w:p w14:paraId="429AA496" w14:textId="77777777" w:rsidR="00D21942" w:rsidRPr="00D21942" w:rsidRDefault="00D21942" w:rsidP="00D21942">
            <w:pPr>
              <w:spacing w:after="0" w:line="240" w:lineRule="auto"/>
              <w:jc w:val="right"/>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Estimates </w:t>
            </w:r>
          </w:p>
        </w:tc>
        <w:tc>
          <w:tcPr>
            <w:tcW w:w="991" w:type="pct"/>
            <w:gridSpan w:val="2"/>
            <w:tcBorders>
              <w:top w:val="single" w:sz="8" w:space="0" w:color="auto"/>
              <w:left w:val="nil"/>
              <w:bottom w:val="single" w:sz="8" w:space="0" w:color="auto"/>
              <w:right w:val="single" w:sz="4" w:space="0" w:color="auto"/>
            </w:tcBorders>
            <w:shd w:val="clear" w:color="000000" w:fill="E2EFDA"/>
            <w:vAlign w:val="center"/>
            <w:hideMark/>
          </w:tcPr>
          <w:p w14:paraId="41A8DED1"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Projections </w:t>
            </w:r>
          </w:p>
        </w:tc>
        <w:tc>
          <w:tcPr>
            <w:tcW w:w="327" w:type="pct"/>
            <w:tcBorders>
              <w:top w:val="nil"/>
              <w:left w:val="single" w:sz="8" w:space="0" w:color="auto"/>
              <w:bottom w:val="single" w:sz="8" w:space="0" w:color="auto"/>
              <w:right w:val="single" w:sz="8" w:space="0" w:color="auto"/>
            </w:tcBorders>
            <w:shd w:val="clear" w:color="auto" w:fill="auto"/>
            <w:vAlign w:val="center"/>
            <w:hideMark/>
          </w:tcPr>
          <w:p w14:paraId="0678C6FB"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Estimates </w:t>
            </w:r>
          </w:p>
        </w:tc>
        <w:tc>
          <w:tcPr>
            <w:tcW w:w="332" w:type="pct"/>
            <w:tcBorders>
              <w:top w:val="nil"/>
              <w:left w:val="nil"/>
              <w:bottom w:val="single" w:sz="8" w:space="0" w:color="auto"/>
              <w:right w:val="single" w:sz="8" w:space="0" w:color="auto"/>
            </w:tcBorders>
            <w:shd w:val="clear" w:color="auto" w:fill="auto"/>
            <w:vAlign w:val="center"/>
            <w:hideMark/>
          </w:tcPr>
          <w:p w14:paraId="6276307F"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Ceilings</w:t>
            </w:r>
          </w:p>
        </w:tc>
        <w:tc>
          <w:tcPr>
            <w:tcW w:w="611" w:type="pct"/>
            <w:gridSpan w:val="2"/>
            <w:tcBorders>
              <w:top w:val="single" w:sz="8" w:space="0" w:color="auto"/>
              <w:left w:val="nil"/>
              <w:bottom w:val="single" w:sz="8" w:space="0" w:color="auto"/>
              <w:right w:val="single" w:sz="8" w:space="0" w:color="000000"/>
            </w:tcBorders>
            <w:shd w:val="clear" w:color="auto" w:fill="auto"/>
            <w:vAlign w:val="center"/>
            <w:hideMark/>
          </w:tcPr>
          <w:p w14:paraId="6B2F6382"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Projections </w:t>
            </w:r>
          </w:p>
        </w:tc>
      </w:tr>
      <w:tr w:rsidR="00D21942" w:rsidRPr="00D21942" w14:paraId="377E9915" w14:textId="77777777" w:rsidTr="00D21942">
        <w:trPr>
          <w:trHeight w:val="330"/>
        </w:trPr>
        <w:tc>
          <w:tcPr>
            <w:tcW w:w="1207" w:type="pct"/>
            <w:vMerge/>
            <w:tcBorders>
              <w:top w:val="nil"/>
              <w:left w:val="single" w:sz="8" w:space="0" w:color="auto"/>
              <w:bottom w:val="single" w:sz="4" w:space="0" w:color="auto"/>
              <w:right w:val="single" w:sz="8" w:space="0" w:color="auto"/>
            </w:tcBorders>
            <w:vAlign w:val="center"/>
            <w:hideMark/>
          </w:tcPr>
          <w:p w14:paraId="45644694"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p>
        </w:tc>
        <w:tc>
          <w:tcPr>
            <w:tcW w:w="406" w:type="pct"/>
            <w:tcBorders>
              <w:top w:val="nil"/>
              <w:left w:val="nil"/>
              <w:bottom w:val="single" w:sz="4" w:space="0" w:color="auto"/>
              <w:right w:val="single" w:sz="8" w:space="0" w:color="auto"/>
            </w:tcBorders>
            <w:shd w:val="clear" w:color="auto" w:fill="auto"/>
            <w:vAlign w:val="center"/>
            <w:hideMark/>
          </w:tcPr>
          <w:p w14:paraId="32F474EE"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w:t>
            </w:r>
          </w:p>
        </w:tc>
        <w:tc>
          <w:tcPr>
            <w:tcW w:w="558" w:type="pct"/>
            <w:tcBorders>
              <w:top w:val="nil"/>
              <w:left w:val="nil"/>
              <w:bottom w:val="single" w:sz="8" w:space="0" w:color="auto"/>
              <w:right w:val="single" w:sz="8" w:space="0" w:color="auto"/>
            </w:tcBorders>
            <w:shd w:val="clear" w:color="auto" w:fill="auto"/>
            <w:vAlign w:val="center"/>
            <w:hideMark/>
          </w:tcPr>
          <w:p w14:paraId="6736AE24" w14:textId="77777777" w:rsidR="00D21942" w:rsidRPr="00D21942" w:rsidRDefault="00D21942" w:rsidP="00D21942">
            <w:pPr>
              <w:spacing w:after="0" w:line="240" w:lineRule="auto"/>
              <w:jc w:val="right"/>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2019/20 </w:t>
            </w:r>
          </w:p>
        </w:tc>
        <w:tc>
          <w:tcPr>
            <w:tcW w:w="569" w:type="pct"/>
            <w:tcBorders>
              <w:top w:val="nil"/>
              <w:left w:val="nil"/>
              <w:bottom w:val="single" w:sz="8" w:space="0" w:color="auto"/>
              <w:right w:val="single" w:sz="8" w:space="0" w:color="auto"/>
            </w:tcBorders>
            <w:shd w:val="clear" w:color="auto" w:fill="auto"/>
            <w:vAlign w:val="center"/>
            <w:hideMark/>
          </w:tcPr>
          <w:p w14:paraId="37C3998F" w14:textId="77777777" w:rsidR="00D21942" w:rsidRPr="00D21942" w:rsidRDefault="00D21942" w:rsidP="00D21942">
            <w:pPr>
              <w:spacing w:after="0" w:line="240" w:lineRule="auto"/>
              <w:jc w:val="right"/>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2020/21 </w:t>
            </w:r>
          </w:p>
        </w:tc>
        <w:tc>
          <w:tcPr>
            <w:tcW w:w="522" w:type="pct"/>
            <w:tcBorders>
              <w:top w:val="nil"/>
              <w:left w:val="nil"/>
              <w:bottom w:val="single" w:sz="8" w:space="0" w:color="auto"/>
              <w:right w:val="single" w:sz="8" w:space="0" w:color="auto"/>
            </w:tcBorders>
            <w:shd w:val="clear" w:color="auto" w:fill="auto"/>
            <w:vAlign w:val="center"/>
            <w:hideMark/>
          </w:tcPr>
          <w:p w14:paraId="65E6CDCD" w14:textId="77777777" w:rsidR="00D21942" w:rsidRPr="00D21942" w:rsidRDefault="00D21942" w:rsidP="00D21942">
            <w:pPr>
              <w:spacing w:after="0" w:line="240" w:lineRule="auto"/>
              <w:jc w:val="right"/>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2021/22 </w:t>
            </w:r>
          </w:p>
        </w:tc>
        <w:tc>
          <w:tcPr>
            <w:tcW w:w="469" w:type="pct"/>
            <w:tcBorders>
              <w:top w:val="nil"/>
              <w:left w:val="nil"/>
              <w:bottom w:val="single" w:sz="8" w:space="0" w:color="auto"/>
              <w:right w:val="nil"/>
            </w:tcBorders>
            <w:shd w:val="clear" w:color="auto" w:fill="auto"/>
            <w:vAlign w:val="center"/>
            <w:hideMark/>
          </w:tcPr>
          <w:p w14:paraId="62721CEB" w14:textId="77777777" w:rsidR="00D21942" w:rsidRPr="00D21942" w:rsidRDefault="00D21942" w:rsidP="00D21942">
            <w:pPr>
              <w:spacing w:after="0" w:line="240" w:lineRule="auto"/>
              <w:jc w:val="right"/>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2022/23 </w:t>
            </w:r>
          </w:p>
        </w:tc>
        <w:tc>
          <w:tcPr>
            <w:tcW w:w="327" w:type="pct"/>
            <w:tcBorders>
              <w:top w:val="nil"/>
              <w:left w:val="single" w:sz="8" w:space="0" w:color="auto"/>
              <w:bottom w:val="single" w:sz="8" w:space="0" w:color="auto"/>
              <w:right w:val="single" w:sz="8" w:space="0" w:color="auto"/>
            </w:tcBorders>
            <w:shd w:val="clear" w:color="auto" w:fill="auto"/>
            <w:vAlign w:val="center"/>
            <w:hideMark/>
          </w:tcPr>
          <w:p w14:paraId="4ECC4F58"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2019/20 </w:t>
            </w:r>
          </w:p>
        </w:tc>
        <w:tc>
          <w:tcPr>
            <w:tcW w:w="332" w:type="pct"/>
            <w:tcBorders>
              <w:top w:val="nil"/>
              <w:left w:val="nil"/>
              <w:bottom w:val="single" w:sz="8" w:space="0" w:color="auto"/>
              <w:right w:val="single" w:sz="8" w:space="0" w:color="auto"/>
            </w:tcBorders>
            <w:shd w:val="clear" w:color="auto" w:fill="auto"/>
            <w:vAlign w:val="center"/>
            <w:hideMark/>
          </w:tcPr>
          <w:p w14:paraId="0F0CB2FF"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2020/21</w:t>
            </w:r>
          </w:p>
        </w:tc>
        <w:tc>
          <w:tcPr>
            <w:tcW w:w="321" w:type="pct"/>
            <w:tcBorders>
              <w:top w:val="nil"/>
              <w:left w:val="nil"/>
              <w:bottom w:val="single" w:sz="8" w:space="0" w:color="auto"/>
              <w:right w:val="single" w:sz="8" w:space="0" w:color="auto"/>
            </w:tcBorders>
            <w:shd w:val="clear" w:color="auto" w:fill="auto"/>
            <w:vAlign w:val="center"/>
            <w:hideMark/>
          </w:tcPr>
          <w:p w14:paraId="753B93CF" w14:textId="77777777" w:rsidR="00D21942" w:rsidRPr="00D21942" w:rsidRDefault="00D21942" w:rsidP="00D21942">
            <w:pPr>
              <w:spacing w:after="0" w:line="240" w:lineRule="auto"/>
              <w:jc w:val="right"/>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2021/22 </w:t>
            </w:r>
          </w:p>
        </w:tc>
        <w:tc>
          <w:tcPr>
            <w:tcW w:w="290" w:type="pct"/>
            <w:tcBorders>
              <w:top w:val="nil"/>
              <w:left w:val="nil"/>
              <w:bottom w:val="single" w:sz="8" w:space="0" w:color="auto"/>
              <w:right w:val="single" w:sz="8" w:space="0" w:color="auto"/>
            </w:tcBorders>
            <w:shd w:val="clear" w:color="auto" w:fill="auto"/>
            <w:vAlign w:val="center"/>
            <w:hideMark/>
          </w:tcPr>
          <w:p w14:paraId="09A26EBA" w14:textId="77777777" w:rsidR="00D21942" w:rsidRPr="00D21942" w:rsidRDefault="00D21942" w:rsidP="00D21942">
            <w:pPr>
              <w:spacing w:after="0" w:line="240" w:lineRule="auto"/>
              <w:jc w:val="right"/>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2022/23 </w:t>
            </w:r>
          </w:p>
        </w:tc>
      </w:tr>
      <w:tr w:rsidR="00D21942" w:rsidRPr="00D21942" w14:paraId="33EF3FFB" w14:textId="77777777" w:rsidTr="00D21942">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0EC3875C"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County Assembly</w:t>
            </w:r>
          </w:p>
        </w:tc>
        <w:tc>
          <w:tcPr>
            <w:tcW w:w="406" w:type="pct"/>
            <w:tcBorders>
              <w:top w:val="nil"/>
              <w:left w:val="nil"/>
              <w:bottom w:val="single" w:sz="4" w:space="0" w:color="auto"/>
              <w:right w:val="single" w:sz="8" w:space="0" w:color="auto"/>
            </w:tcBorders>
            <w:shd w:val="clear" w:color="auto" w:fill="auto"/>
            <w:vAlign w:val="center"/>
            <w:hideMark/>
          </w:tcPr>
          <w:p w14:paraId="7E2C87E5"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Recurrent</w:t>
            </w:r>
          </w:p>
        </w:tc>
        <w:tc>
          <w:tcPr>
            <w:tcW w:w="558" w:type="pct"/>
            <w:tcBorders>
              <w:top w:val="nil"/>
              <w:left w:val="nil"/>
              <w:bottom w:val="single" w:sz="4" w:space="0" w:color="auto"/>
              <w:right w:val="single" w:sz="8" w:space="0" w:color="auto"/>
            </w:tcBorders>
            <w:shd w:val="clear" w:color="auto" w:fill="auto"/>
            <w:vAlign w:val="center"/>
            <w:hideMark/>
          </w:tcPr>
          <w:p w14:paraId="0D66543B"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925,220,000.00 </w:t>
            </w:r>
          </w:p>
        </w:tc>
        <w:tc>
          <w:tcPr>
            <w:tcW w:w="569" w:type="pct"/>
            <w:tcBorders>
              <w:top w:val="nil"/>
              <w:left w:val="nil"/>
              <w:bottom w:val="single" w:sz="4" w:space="0" w:color="auto"/>
              <w:right w:val="single" w:sz="8" w:space="0" w:color="auto"/>
            </w:tcBorders>
            <w:shd w:val="clear" w:color="auto" w:fill="auto"/>
            <w:vAlign w:val="center"/>
            <w:hideMark/>
          </w:tcPr>
          <w:p w14:paraId="29BA0E76"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925,220,000.00 </w:t>
            </w:r>
          </w:p>
        </w:tc>
        <w:tc>
          <w:tcPr>
            <w:tcW w:w="522" w:type="pct"/>
            <w:tcBorders>
              <w:top w:val="nil"/>
              <w:left w:val="nil"/>
              <w:bottom w:val="single" w:sz="4" w:space="0" w:color="auto"/>
              <w:right w:val="single" w:sz="8" w:space="0" w:color="auto"/>
            </w:tcBorders>
            <w:shd w:val="clear" w:color="auto" w:fill="auto"/>
            <w:vAlign w:val="center"/>
            <w:hideMark/>
          </w:tcPr>
          <w:p w14:paraId="61C99317"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952,976,600.00 </w:t>
            </w:r>
          </w:p>
        </w:tc>
        <w:tc>
          <w:tcPr>
            <w:tcW w:w="469" w:type="pct"/>
            <w:tcBorders>
              <w:top w:val="nil"/>
              <w:left w:val="nil"/>
              <w:bottom w:val="single" w:sz="4" w:space="0" w:color="auto"/>
              <w:right w:val="nil"/>
            </w:tcBorders>
            <w:shd w:val="clear" w:color="auto" w:fill="auto"/>
            <w:vAlign w:val="center"/>
            <w:hideMark/>
          </w:tcPr>
          <w:p w14:paraId="0D1CCB7A"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981,565,898.00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24B6ACF0"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8.72%</w:t>
            </w:r>
          </w:p>
        </w:tc>
        <w:tc>
          <w:tcPr>
            <w:tcW w:w="332" w:type="pct"/>
            <w:tcBorders>
              <w:top w:val="nil"/>
              <w:left w:val="nil"/>
              <w:bottom w:val="single" w:sz="4" w:space="0" w:color="auto"/>
              <w:right w:val="single" w:sz="8" w:space="0" w:color="auto"/>
            </w:tcBorders>
            <w:shd w:val="clear" w:color="auto" w:fill="auto"/>
            <w:vAlign w:val="center"/>
            <w:hideMark/>
          </w:tcPr>
          <w:p w14:paraId="0F152DB6"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8.59%</w:t>
            </w:r>
          </w:p>
        </w:tc>
        <w:tc>
          <w:tcPr>
            <w:tcW w:w="321" w:type="pct"/>
            <w:tcBorders>
              <w:top w:val="nil"/>
              <w:left w:val="nil"/>
              <w:bottom w:val="single" w:sz="4" w:space="0" w:color="auto"/>
              <w:right w:val="single" w:sz="8" w:space="0" w:color="auto"/>
            </w:tcBorders>
            <w:shd w:val="clear" w:color="auto" w:fill="auto"/>
            <w:vAlign w:val="center"/>
            <w:hideMark/>
          </w:tcPr>
          <w:p w14:paraId="3A874D46"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8.58%</w:t>
            </w:r>
          </w:p>
        </w:tc>
        <w:tc>
          <w:tcPr>
            <w:tcW w:w="290" w:type="pct"/>
            <w:tcBorders>
              <w:top w:val="nil"/>
              <w:left w:val="nil"/>
              <w:bottom w:val="single" w:sz="4" w:space="0" w:color="auto"/>
              <w:right w:val="single" w:sz="8" w:space="0" w:color="auto"/>
            </w:tcBorders>
            <w:shd w:val="clear" w:color="auto" w:fill="auto"/>
            <w:vAlign w:val="center"/>
            <w:hideMark/>
          </w:tcPr>
          <w:p w14:paraId="73AC4C12"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8.57%</w:t>
            </w:r>
          </w:p>
        </w:tc>
      </w:tr>
      <w:tr w:rsidR="00D21942" w:rsidRPr="00D21942" w14:paraId="4C989B4F" w14:textId="77777777" w:rsidTr="00D21942">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7C765A2B"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w:t>
            </w:r>
          </w:p>
        </w:tc>
        <w:tc>
          <w:tcPr>
            <w:tcW w:w="406" w:type="pct"/>
            <w:tcBorders>
              <w:top w:val="nil"/>
              <w:left w:val="nil"/>
              <w:bottom w:val="single" w:sz="4" w:space="0" w:color="auto"/>
              <w:right w:val="single" w:sz="8" w:space="0" w:color="auto"/>
            </w:tcBorders>
            <w:shd w:val="clear" w:color="auto" w:fill="auto"/>
            <w:vAlign w:val="center"/>
            <w:hideMark/>
          </w:tcPr>
          <w:p w14:paraId="636E2997"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Development</w:t>
            </w:r>
          </w:p>
        </w:tc>
        <w:tc>
          <w:tcPr>
            <w:tcW w:w="558" w:type="pct"/>
            <w:tcBorders>
              <w:top w:val="nil"/>
              <w:left w:val="nil"/>
              <w:bottom w:val="single" w:sz="4" w:space="0" w:color="auto"/>
              <w:right w:val="single" w:sz="8" w:space="0" w:color="auto"/>
            </w:tcBorders>
            <w:shd w:val="clear" w:color="auto" w:fill="auto"/>
            <w:vAlign w:val="center"/>
            <w:hideMark/>
          </w:tcPr>
          <w:p w14:paraId="143E7D5E"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30,000,000.00 </w:t>
            </w:r>
          </w:p>
        </w:tc>
        <w:tc>
          <w:tcPr>
            <w:tcW w:w="569" w:type="pct"/>
            <w:tcBorders>
              <w:top w:val="nil"/>
              <w:left w:val="nil"/>
              <w:bottom w:val="single" w:sz="4" w:space="0" w:color="auto"/>
              <w:right w:val="single" w:sz="8" w:space="0" w:color="auto"/>
            </w:tcBorders>
            <w:shd w:val="clear" w:color="auto" w:fill="auto"/>
            <w:vAlign w:val="center"/>
            <w:hideMark/>
          </w:tcPr>
          <w:p w14:paraId="3C5C4E20"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20,000,000.00 </w:t>
            </w:r>
          </w:p>
        </w:tc>
        <w:tc>
          <w:tcPr>
            <w:tcW w:w="522" w:type="pct"/>
            <w:tcBorders>
              <w:top w:val="nil"/>
              <w:left w:val="nil"/>
              <w:bottom w:val="single" w:sz="4" w:space="0" w:color="auto"/>
              <w:right w:val="single" w:sz="8" w:space="0" w:color="auto"/>
            </w:tcBorders>
            <w:shd w:val="clear" w:color="auto" w:fill="auto"/>
            <w:vAlign w:val="center"/>
            <w:hideMark/>
          </w:tcPr>
          <w:p w14:paraId="3C2DE656"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25,000,000.00 </w:t>
            </w:r>
          </w:p>
        </w:tc>
        <w:tc>
          <w:tcPr>
            <w:tcW w:w="469" w:type="pct"/>
            <w:tcBorders>
              <w:top w:val="nil"/>
              <w:left w:val="nil"/>
              <w:bottom w:val="single" w:sz="4" w:space="0" w:color="auto"/>
              <w:right w:val="nil"/>
            </w:tcBorders>
            <w:shd w:val="clear" w:color="auto" w:fill="auto"/>
            <w:vAlign w:val="center"/>
            <w:hideMark/>
          </w:tcPr>
          <w:p w14:paraId="47EA3A5F"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32,000,000.00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7FCE3323"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0.28%</w:t>
            </w:r>
          </w:p>
        </w:tc>
        <w:tc>
          <w:tcPr>
            <w:tcW w:w="332" w:type="pct"/>
            <w:tcBorders>
              <w:top w:val="nil"/>
              <w:left w:val="nil"/>
              <w:bottom w:val="single" w:sz="4" w:space="0" w:color="auto"/>
              <w:right w:val="single" w:sz="8" w:space="0" w:color="auto"/>
            </w:tcBorders>
            <w:shd w:val="clear" w:color="auto" w:fill="auto"/>
            <w:vAlign w:val="center"/>
            <w:hideMark/>
          </w:tcPr>
          <w:p w14:paraId="248CC3BF"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0.19%</w:t>
            </w:r>
          </w:p>
        </w:tc>
        <w:tc>
          <w:tcPr>
            <w:tcW w:w="321" w:type="pct"/>
            <w:tcBorders>
              <w:top w:val="nil"/>
              <w:left w:val="nil"/>
              <w:bottom w:val="single" w:sz="4" w:space="0" w:color="auto"/>
              <w:right w:val="single" w:sz="8" w:space="0" w:color="auto"/>
            </w:tcBorders>
            <w:shd w:val="clear" w:color="auto" w:fill="auto"/>
            <w:vAlign w:val="center"/>
            <w:hideMark/>
          </w:tcPr>
          <w:p w14:paraId="473E3DCB"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0.23%</w:t>
            </w:r>
          </w:p>
        </w:tc>
        <w:tc>
          <w:tcPr>
            <w:tcW w:w="290" w:type="pct"/>
            <w:tcBorders>
              <w:top w:val="nil"/>
              <w:left w:val="nil"/>
              <w:bottom w:val="single" w:sz="4" w:space="0" w:color="auto"/>
              <w:right w:val="single" w:sz="8" w:space="0" w:color="auto"/>
            </w:tcBorders>
            <w:shd w:val="clear" w:color="auto" w:fill="auto"/>
            <w:vAlign w:val="center"/>
            <w:hideMark/>
          </w:tcPr>
          <w:p w14:paraId="39D5728F"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0.28%</w:t>
            </w:r>
          </w:p>
        </w:tc>
      </w:tr>
      <w:tr w:rsidR="00D21942" w:rsidRPr="00D21942" w14:paraId="226F985E" w14:textId="77777777" w:rsidTr="00D21942">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158B0ADB"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w:t>
            </w:r>
          </w:p>
        </w:tc>
        <w:tc>
          <w:tcPr>
            <w:tcW w:w="406" w:type="pct"/>
            <w:tcBorders>
              <w:top w:val="nil"/>
              <w:left w:val="nil"/>
              <w:bottom w:val="single" w:sz="4" w:space="0" w:color="auto"/>
              <w:right w:val="single" w:sz="8" w:space="0" w:color="auto"/>
            </w:tcBorders>
            <w:shd w:val="clear" w:color="auto" w:fill="auto"/>
            <w:vAlign w:val="center"/>
            <w:hideMark/>
          </w:tcPr>
          <w:p w14:paraId="122C2F48"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Sub-Total</w:t>
            </w:r>
          </w:p>
        </w:tc>
        <w:tc>
          <w:tcPr>
            <w:tcW w:w="558" w:type="pct"/>
            <w:tcBorders>
              <w:top w:val="nil"/>
              <w:left w:val="nil"/>
              <w:bottom w:val="single" w:sz="4" w:space="0" w:color="auto"/>
              <w:right w:val="single" w:sz="8" w:space="0" w:color="auto"/>
            </w:tcBorders>
            <w:shd w:val="clear" w:color="auto" w:fill="auto"/>
            <w:vAlign w:val="center"/>
            <w:hideMark/>
          </w:tcPr>
          <w:p w14:paraId="441E87B7"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955,220,000.00 </w:t>
            </w:r>
          </w:p>
        </w:tc>
        <w:tc>
          <w:tcPr>
            <w:tcW w:w="569" w:type="pct"/>
            <w:tcBorders>
              <w:top w:val="nil"/>
              <w:left w:val="nil"/>
              <w:bottom w:val="single" w:sz="4" w:space="0" w:color="auto"/>
              <w:right w:val="single" w:sz="8" w:space="0" w:color="auto"/>
            </w:tcBorders>
            <w:shd w:val="clear" w:color="auto" w:fill="auto"/>
            <w:vAlign w:val="center"/>
            <w:hideMark/>
          </w:tcPr>
          <w:p w14:paraId="624957E9"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945,220,000.00 </w:t>
            </w:r>
          </w:p>
        </w:tc>
        <w:tc>
          <w:tcPr>
            <w:tcW w:w="522" w:type="pct"/>
            <w:tcBorders>
              <w:top w:val="nil"/>
              <w:left w:val="nil"/>
              <w:bottom w:val="single" w:sz="4" w:space="0" w:color="auto"/>
              <w:right w:val="single" w:sz="8" w:space="0" w:color="auto"/>
            </w:tcBorders>
            <w:shd w:val="clear" w:color="auto" w:fill="auto"/>
            <w:vAlign w:val="center"/>
            <w:hideMark/>
          </w:tcPr>
          <w:p w14:paraId="32BE7D15"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977,976,600.00 </w:t>
            </w:r>
          </w:p>
        </w:tc>
        <w:tc>
          <w:tcPr>
            <w:tcW w:w="469" w:type="pct"/>
            <w:tcBorders>
              <w:top w:val="nil"/>
              <w:left w:val="nil"/>
              <w:bottom w:val="single" w:sz="4" w:space="0" w:color="auto"/>
              <w:right w:val="nil"/>
            </w:tcBorders>
            <w:shd w:val="clear" w:color="auto" w:fill="auto"/>
            <w:vAlign w:val="center"/>
            <w:hideMark/>
          </w:tcPr>
          <w:p w14:paraId="50D156A2"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1,013,565,898.00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09F5740C"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9.00%</w:t>
            </w:r>
          </w:p>
        </w:tc>
        <w:tc>
          <w:tcPr>
            <w:tcW w:w="332" w:type="pct"/>
            <w:tcBorders>
              <w:top w:val="nil"/>
              <w:left w:val="nil"/>
              <w:bottom w:val="single" w:sz="4" w:space="0" w:color="auto"/>
              <w:right w:val="single" w:sz="8" w:space="0" w:color="auto"/>
            </w:tcBorders>
            <w:shd w:val="clear" w:color="auto" w:fill="auto"/>
            <w:vAlign w:val="center"/>
            <w:hideMark/>
          </w:tcPr>
          <w:p w14:paraId="2871B91E"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8.78%</w:t>
            </w:r>
          </w:p>
        </w:tc>
        <w:tc>
          <w:tcPr>
            <w:tcW w:w="321" w:type="pct"/>
            <w:tcBorders>
              <w:top w:val="nil"/>
              <w:left w:val="nil"/>
              <w:bottom w:val="single" w:sz="4" w:space="0" w:color="auto"/>
              <w:right w:val="single" w:sz="8" w:space="0" w:color="auto"/>
            </w:tcBorders>
            <w:shd w:val="clear" w:color="auto" w:fill="auto"/>
            <w:vAlign w:val="center"/>
            <w:hideMark/>
          </w:tcPr>
          <w:p w14:paraId="2DD775B0"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8.81%</w:t>
            </w:r>
          </w:p>
        </w:tc>
        <w:tc>
          <w:tcPr>
            <w:tcW w:w="290" w:type="pct"/>
            <w:tcBorders>
              <w:top w:val="nil"/>
              <w:left w:val="nil"/>
              <w:bottom w:val="single" w:sz="4" w:space="0" w:color="auto"/>
              <w:right w:val="single" w:sz="8" w:space="0" w:color="auto"/>
            </w:tcBorders>
            <w:shd w:val="clear" w:color="auto" w:fill="auto"/>
            <w:vAlign w:val="center"/>
            <w:hideMark/>
          </w:tcPr>
          <w:p w14:paraId="3DCAA6D9"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8.85%</w:t>
            </w:r>
          </w:p>
        </w:tc>
      </w:tr>
      <w:tr w:rsidR="00D21942" w:rsidRPr="00D21942" w14:paraId="11AFF73C" w14:textId="77777777" w:rsidTr="00D21942">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2E351734"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Office of the Governor</w:t>
            </w:r>
          </w:p>
        </w:tc>
        <w:tc>
          <w:tcPr>
            <w:tcW w:w="406" w:type="pct"/>
            <w:tcBorders>
              <w:top w:val="nil"/>
              <w:left w:val="nil"/>
              <w:bottom w:val="single" w:sz="4" w:space="0" w:color="auto"/>
              <w:right w:val="single" w:sz="8" w:space="0" w:color="auto"/>
            </w:tcBorders>
            <w:shd w:val="clear" w:color="auto" w:fill="auto"/>
            <w:vAlign w:val="center"/>
            <w:hideMark/>
          </w:tcPr>
          <w:p w14:paraId="45C8038D"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Recurrent</w:t>
            </w:r>
          </w:p>
        </w:tc>
        <w:tc>
          <w:tcPr>
            <w:tcW w:w="558" w:type="pct"/>
            <w:tcBorders>
              <w:top w:val="nil"/>
              <w:left w:val="nil"/>
              <w:bottom w:val="single" w:sz="4" w:space="0" w:color="auto"/>
              <w:right w:val="single" w:sz="8" w:space="0" w:color="auto"/>
            </w:tcBorders>
            <w:shd w:val="clear" w:color="auto" w:fill="auto"/>
            <w:vAlign w:val="center"/>
            <w:hideMark/>
          </w:tcPr>
          <w:p w14:paraId="253D1403"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279,451,652.52 </w:t>
            </w:r>
          </w:p>
        </w:tc>
        <w:tc>
          <w:tcPr>
            <w:tcW w:w="569" w:type="pct"/>
            <w:tcBorders>
              <w:top w:val="nil"/>
              <w:left w:val="nil"/>
              <w:bottom w:val="single" w:sz="4" w:space="0" w:color="auto"/>
              <w:right w:val="single" w:sz="8" w:space="0" w:color="auto"/>
            </w:tcBorders>
            <w:shd w:val="clear" w:color="auto" w:fill="auto"/>
            <w:vAlign w:val="center"/>
            <w:hideMark/>
          </w:tcPr>
          <w:p w14:paraId="33357E1F"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280,451,652.52 </w:t>
            </w:r>
          </w:p>
        </w:tc>
        <w:tc>
          <w:tcPr>
            <w:tcW w:w="522" w:type="pct"/>
            <w:tcBorders>
              <w:top w:val="nil"/>
              <w:left w:val="nil"/>
              <w:bottom w:val="single" w:sz="4" w:space="0" w:color="auto"/>
              <w:right w:val="single" w:sz="8" w:space="0" w:color="auto"/>
            </w:tcBorders>
            <w:shd w:val="clear" w:color="auto" w:fill="auto"/>
            <w:vAlign w:val="center"/>
            <w:hideMark/>
          </w:tcPr>
          <w:p w14:paraId="26344C98"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288,865,202.10 </w:t>
            </w:r>
          </w:p>
        </w:tc>
        <w:tc>
          <w:tcPr>
            <w:tcW w:w="469" w:type="pct"/>
            <w:tcBorders>
              <w:top w:val="nil"/>
              <w:left w:val="nil"/>
              <w:bottom w:val="single" w:sz="4" w:space="0" w:color="auto"/>
              <w:right w:val="nil"/>
            </w:tcBorders>
            <w:shd w:val="clear" w:color="auto" w:fill="auto"/>
            <w:vAlign w:val="center"/>
            <w:hideMark/>
          </w:tcPr>
          <w:p w14:paraId="3F6B3B2F"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297,531,158.16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0FCA5D5C"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2.63%</w:t>
            </w:r>
          </w:p>
        </w:tc>
        <w:tc>
          <w:tcPr>
            <w:tcW w:w="332" w:type="pct"/>
            <w:tcBorders>
              <w:top w:val="nil"/>
              <w:left w:val="nil"/>
              <w:bottom w:val="single" w:sz="4" w:space="0" w:color="auto"/>
              <w:right w:val="single" w:sz="8" w:space="0" w:color="auto"/>
            </w:tcBorders>
            <w:shd w:val="clear" w:color="auto" w:fill="auto"/>
            <w:vAlign w:val="center"/>
            <w:hideMark/>
          </w:tcPr>
          <w:p w14:paraId="616C3962"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2.60%</w:t>
            </w:r>
          </w:p>
        </w:tc>
        <w:tc>
          <w:tcPr>
            <w:tcW w:w="321" w:type="pct"/>
            <w:tcBorders>
              <w:top w:val="nil"/>
              <w:left w:val="nil"/>
              <w:bottom w:val="single" w:sz="4" w:space="0" w:color="auto"/>
              <w:right w:val="single" w:sz="8" w:space="0" w:color="auto"/>
            </w:tcBorders>
            <w:shd w:val="clear" w:color="auto" w:fill="auto"/>
            <w:vAlign w:val="center"/>
            <w:hideMark/>
          </w:tcPr>
          <w:p w14:paraId="0FE24FD4"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2.60%</w:t>
            </w:r>
          </w:p>
        </w:tc>
        <w:tc>
          <w:tcPr>
            <w:tcW w:w="290" w:type="pct"/>
            <w:tcBorders>
              <w:top w:val="nil"/>
              <w:left w:val="nil"/>
              <w:bottom w:val="single" w:sz="4" w:space="0" w:color="auto"/>
              <w:right w:val="single" w:sz="8" w:space="0" w:color="auto"/>
            </w:tcBorders>
            <w:shd w:val="clear" w:color="auto" w:fill="auto"/>
            <w:vAlign w:val="center"/>
            <w:hideMark/>
          </w:tcPr>
          <w:p w14:paraId="781D28B7"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2.60%</w:t>
            </w:r>
          </w:p>
        </w:tc>
      </w:tr>
      <w:tr w:rsidR="00D21942" w:rsidRPr="00D21942" w14:paraId="7615E36F" w14:textId="77777777" w:rsidTr="00D21942">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26AC6AED"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w:t>
            </w:r>
          </w:p>
        </w:tc>
        <w:tc>
          <w:tcPr>
            <w:tcW w:w="406" w:type="pct"/>
            <w:tcBorders>
              <w:top w:val="nil"/>
              <w:left w:val="nil"/>
              <w:bottom w:val="single" w:sz="4" w:space="0" w:color="auto"/>
              <w:right w:val="single" w:sz="8" w:space="0" w:color="auto"/>
            </w:tcBorders>
            <w:shd w:val="clear" w:color="auto" w:fill="auto"/>
            <w:vAlign w:val="center"/>
            <w:hideMark/>
          </w:tcPr>
          <w:p w14:paraId="3F8ECD6E"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Development</w:t>
            </w:r>
          </w:p>
        </w:tc>
        <w:tc>
          <w:tcPr>
            <w:tcW w:w="558" w:type="pct"/>
            <w:tcBorders>
              <w:top w:val="nil"/>
              <w:left w:val="nil"/>
              <w:bottom w:val="single" w:sz="4" w:space="0" w:color="auto"/>
              <w:right w:val="single" w:sz="8" w:space="0" w:color="auto"/>
            </w:tcBorders>
            <w:shd w:val="clear" w:color="auto" w:fill="auto"/>
            <w:vAlign w:val="center"/>
            <w:hideMark/>
          </w:tcPr>
          <w:p w14:paraId="646BCBCD"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2,000,000.00 </w:t>
            </w:r>
          </w:p>
        </w:tc>
        <w:tc>
          <w:tcPr>
            <w:tcW w:w="569" w:type="pct"/>
            <w:tcBorders>
              <w:top w:val="nil"/>
              <w:left w:val="nil"/>
              <w:bottom w:val="single" w:sz="4" w:space="0" w:color="auto"/>
              <w:right w:val="single" w:sz="8" w:space="0" w:color="auto"/>
            </w:tcBorders>
            <w:shd w:val="clear" w:color="auto" w:fill="auto"/>
            <w:vAlign w:val="center"/>
            <w:hideMark/>
          </w:tcPr>
          <w:p w14:paraId="16766552"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45,000,000.00 </w:t>
            </w:r>
          </w:p>
        </w:tc>
        <w:tc>
          <w:tcPr>
            <w:tcW w:w="522" w:type="pct"/>
            <w:tcBorders>
              <w:top w:val="nil"/>
              <w:left w:val="nil"/>
              <w:bottom w:val="single" w:sz="4" w:space="0" w:color="auto"/>
              <w:right w:val="single" w:sz="8" w:space="0" w:color="auto"/>
            </w:tcBorders>
            <w:shd w:val="clear" w:color="auto" w:fill="auto"/>
            <w:vAlign w:val="center"/>
            <w:hideMark/>
          </w:tcPr>
          <w:p w14:paraId="5719B934"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32,000,000.00 </w:t>
            </w:r>
          </w:p>
        </w:tc>
        <w:tc>
          <w:tcPr>
            <w:tcW w:w="469" w:type="pct"/>
            <w:tcBorders>
              <w:top w:val="nil"/>
              <w:left w:val="nil"/>
              <w:bottom w:val="single" w:sz="4" w:space="0" w:color="auto"/>
              <w:right w:val="nil"/>
            </w:tcBorders>
            <w:shd w:val="clear" w:color="auto" w:fill="auto"/>
            <w:vAlign w:val="center"/>
            <w:hideMark/>
          </w:tcPr>
          <w:p w14:paraId="10E2E57F"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34,000,000.00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6B8AF84D"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0.02%</w:t>
            </w:r>
          </w:p>
        </w:tc>
        <w:tc>
          <w:tcPr>
            <w:tcW w:w="332" w:type="pct"/>
            <w:tcBorders>
              <w:top w:val="nil"/>
              <w:left w:val="nil"/>
              <w:bottom w:val="single" w:sz="4" w:space="0" w:color="auto"/>
              <w:right w:val="single" w:sz="8" w:space="0" w:color="auto"/>
            </w:tcBorders>
            <w:shd w:val="clear" w:color="auto" w:fill="auto"/>
            <w:vAlign w:val="center"/>
            <w:hideMark/>
          </w:tcPr>
          <w:p w14:paraId="4D648088"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0.42%</w:t>
            </w:r>
          </w:p>
        </w:tc>
        <w:tc>
          <w:tcPr>
            <w:tcW w:w="321" w:type="pct"/>
            <w:tcBorders>
              <w:top w:val="nil"/>
              <w:left w:val="nil"/>
              <w:bottom w:val="single" w:sz="4" w:space="0" w:color="auto"/>
              <w:right w:val="single" w:sz="8" w:space="0" w:color="auto"/>
            </w:tcBorders>
            <w:shd w:val="clear" w:color="auto" w:fill="auto"/>
            <w:vAlign w:val="center"/>
            <w:hideMark/>
          </w:tcPr>
          <w:p w14:paraId="23A3C417"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0.29%</w:t>
            </w:r>
          </w:p>
        </w:tc>
        <w:tc>
          <w:tcPr>
            <w:tcW w:w="290" w:type="pct"/>
            <w:tcBorders>
              <w:top w:val="nil"/>
              <w:left w:val="nil"/>
              <w:bottom w:val="single" w:sz="4" w:space="0" w:color="auto"/>
              <w:right w:val="single" w:sz="8" w:space="0" w:color="auto"/>
            </w:tcBorders>
            <w:shd w:val="clear" w:color="auto" w:fill="auto"/>
            <w:vAlign w:val="center"/>
            <w:hideMark/>
          </w:tcPr>
          <w:p w14:paraId="5CA6624C"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0.30%</w:t>
            </w:r>
          </w:p>
        </w:tc>
      </w:tr>
      <w:tr w:rsidR="00D21942" w:rsidRPr="00D21942" w14:paraId="7C9A22BB" w14:textId="77777777" w:rsidTr="00D21942">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40C313C2"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w:t>
            </w:r>
          </w:p>
        </w:tc>
        <w:tc>
          <w:tcPr>
            <w:tcW w:w="406" w:type="pct"/>
            <w:tcBorders>
              <w:top w:val="nil"/>
              <w:left w:val="nil"/>
              <w:bottom w:val="single" w:sz="4" w:space="0" w:color="auto"/>
              <w:right w:val="single" w:sz="8" w:space="0" w:color="auto"/>
            </w:tcBorders>
            <w:shd w:val="clear" w:color="auto" w:fill="auto"/>
            <w:vAlign w:val="center"/>
            <w:hideMark/>
          </w:tcPr>
          <w:p w14:paraId="16D9CBAD"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Sub-Total</w:t>
            </w:r>
          </w:p>
        </w:tc>
        <w:tc>
          <w:tcPr>
            <w:tcW w:w="558" w:type="pct"/>
            <w:tcBorders>
              <w:top w:val="nil"/>
              <w:left w:val="nil"/>
              <w:bottom w:val="single" w:sz="4" w:space="0" w:color="auto"/>
              <w:right w:val="single" w:sz="8" w:space="0" w:color="auto"/>
            </w:tcBorders>
            <w:shd w:val="clear" w:color="auto" w:fill="auto"/>
            <w:vAlign w:val="center"/>
            <w:hideMark/>
          </w:tcPr>
          <w:p w14:paraId="3C67694A"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281,451,652.52 </w:t>
            </w:r>
          </w:p>
        </w:tc>
        <w:tc>
          <w:tcPr>
            <w:tcW w:w="569" w:type="pct"/>
            <w:tcBorders>
              <w:top w:val="nil"/>
              <w:left w:val="nil"/>
              <w:bottom w:val="single" w:sz="4" w:space="0" w:color="auto"/>
              <w:right w:val="single" w:sz="8" w:space="0" w:color="auto"/>
            </w:tcBorders>
            <w:shd w:val="clear" w:color="auto" w:fill="auto"/>
            <w:vAlign w:val="center"/>
            <w:hideMark/>
          </w:tcPr>
          <w:p w14:paraId="663F139F"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325,451,652.52 </w:t>
            </w:r>
          </w:p>
        </w:tc>
        <w:tc>
          <w:tcPr>
            <w:tcW w:w="522" w:type="pct"/>
            <w:tcBorders>
              <w:top w:val="nil"/>
              <w:left w:val="nil"/>
              <w:bottom w:val="single" w:sz="4" w:space="0" w:color="auto"/>
              <w:right w:val="single" w:sz="8" w:space="0" w:color="auto"/>
            </w:tcBorders>
            <w:shd w:val="clear" w:color="auto" w:fill="auto"/>
            <w:vAlign w:val="center"/>
            <w:hideMark/>
          </w:tcPr>
          <w:p w14:paraId="1CE0AF81"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320,865,202.10 </w:t>
            </w:r>
          </w:p>
        </w:tc>
        <w:tc>
          <w:tcPr>
            <w:tcW w:w="469" w:type="pct"/>
            <w:tcBorders>
              <w:top w:val="nil"/>
              <w:left w:val="nil"/>
              <w:bottom w:val="single" w:sz="4" w:space="0" w:color="auto"/>
              <w:right w:val="nil"/>
            </w:tcBorders>
            <w:shd w:val="clear" w:color="auto" w:fill="auto"/>
            <w:vAlign w:val="center"/>
            <w:hideMark/>
          </w:tcPr>
          <w:p w14:paraId="72B99B30"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331,531,158.16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55836A89"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2.65%</w:t>
            </w:r>
          </w:p>
        </w:tc>
        <w:tc>
          <w:tcPr>
            <w:tcW w:w="332" w:type="pct"/>
            <w:tcBorders>
              <w:top w:val="nil"/>
              <w:left w:val="nil"/>
              <w:bottom w:val="single" w:sz="4" w:space="0" w:color="auto"/>
              <w:right w:val="single" w:sz="8" w:space="0" w:color="auto"/>
            </w:tcBorders>
            <w:shd w:val="clear" w:color="auto" w:fill="auto"/>
            <w:vAlign w:val="center"/>
            <w:hideMark/>
          </w:tcPr>
          <w:p w14:paraId="2D9AEB67"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3.02%</w:t>
            </w:r>
          </w:p>
        </w:tc>
        <w:tc>
          <w:tcPr>
            <w:tcW w:w="321" w:type="pct"/>
            <w:tcBorders>
              <w:top w:val="nil"/>
              <w:left w:val="nil"/>
              <w:bottom w:val="single" w:sz="4" w:space="0" w:color="auto"/>
              <w:right w:val="single" w:sz="8" w:space="0" w:color="auto"/>
            </w:tcBorders>
            <w:shd w:val="clear" w:color="auto" w:fill="auto"/>
            <w:vAlign w:val="center"/>
            <w:hideMark/>
          </w:tcPr>
          <w:p w14:paraId="2B459BE5"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2.89%</w:t>
            </w:r>
          </w:p>
        </w:tc>
        <w:tc>
          <w:tcPr>
            <w:tcW w:w="290" w:type="pct"/>
            <w:tcBorders>
              <w:top w:val="nil"/>
              <w:left w:val="nil"/>
              <w:bottom w:val="single" w:sz="4" w:space="0" w:color="auto"/>
              <w:right w:val="single" w:sz="8" w:space="0" w:color="auto"/>
            </w:tcBorders>
            <w:shd w:val="clear" w:color="auto" w:fill="auto"/>
            <w:vAlign w:val="center"/>
            <w:hideMark/>
          </w:tcPr>
          <w:p w14:paraId="287A72FD"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2.90%</w:t>
            </w:r>
          </w:p>
        </w:tc>
      </w:tr>
      <w:tr w:rsidR="00D21942" w:rsidRPr="00D21942" w14:paraId="5EB474D4" w14:textId="77777777" w:rsidTr="00D21942">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4033636F"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Finance, Economic Planning and ICT</w:t>
            </w:r>
          </w:p>
        </w:tc>
        <w:tc>
          <w:tcPr>
            <w:tcW w:w="406" w:type="pct"/>
            <w:tcBorders>
              <w:top w:val="nil"/>
              <w:left w:val="nil"/>
              <w:bottom w:val="single" w:sz="4" w:space="0" w:color="auto"/>
              <w:right w:val="single" w:sz="8" w:space="0" w:color="auto"/>
            </w:tcBorders>
            <w:shd w:val="clear" w:color="auto" w:fill="auto"/>
            <w:vAlign w:val="center"/>
            <w:hideMark/>
          </w:tcPr>
          <w:p w14:paraId="0E7A6AC6"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Recurrent</w:t>
            </w:r>
          </w:p>
        </w:tc>
        <w:tc>
          <w:tcPr>
            <w:tcW w:w="558" w:type="pct"/>
            <w:tcBorders>
              <w:top w:val="nil"/>
              <w:left w:val="nil"/>
              <w:bottom w:val="single" w:sz="4" w:space="0" w:color="auto"/>
              <w:right w:val="single" w:sz="8" w:space="0" w:color="auto"/>
            </w:tcBorders>
            <w:shd w:val="clear" w:color="auto" w:fill="auto"/>
            <w:vAlign w:val="center"/>
            <w:hideMark/>
          </w:tcPr>
          <w:p w14:paraId="095EF26B"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475,768,460.48 </w:t>
            </w:r>
          </w:p>
        </w:tc>
        <w:tc>
          <w:tcPr>
            <w:tcW w:w="569" w:type="pct"/>
            <w:tcBorders>
              <w:top w:val="nil"/>
              <w:left w:val="nil"/>
              <w:bottom w:val="single" w:sz="4" w:space="0" w:color="auto"/>
              <w:right w:val="single" w:sz="8" w:space="0" w:color="auto"/>
            </w:tcBorders>
            <w:shd w:val="clear" w:color="auto" w:fill="auto"/>
            <w:vAlign w:val="center"/>
            <w:hideMark/>
          </w:tcPr>
          <w:p w14:paraId="1A86A719"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476,968,460.48 </w:t>
            </w:r>
          </w:p>
        </w:tc>
        <w:tc>
          <w:tcPr>
            <w:tcW w:w="522" w:type="pct"/>
            <w:tcBorders>
              <w:top w:val="nil"/>
              <w:left w:val="nil"/>
              <w:bottom w:val="single" w:sz="4" w:space="0" w:color="auto"/>
              <w:right w:val="single" w:sz="8" w:space="0" w:color="auto"/>
            </w:tcBorders>
            <w:shd w:val="clear" w:color="auto" w:fill="auto"/>
            <w:vAlign w:val="center"/>
            <w:hideMark/>
          </w:tcPr>
          <w:p w14:paraId="3AC534B6"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491,277,514.30 </w:t>
            </w:r>
          </w:p>
        </w:tc>
        <w:tc>
          <w:tcPr>
            <w:tcW w:w="469" w:type="pct"/>
            <w:tcBorders>
              <w:top w:val="nil"/>
              <w:left w:val="nil"/>
              <w:bottom w:val="single" w:sz="4" w:space="0" w:color="auto"/>
              <w:right w:val="nil"/>
            </w:tcBorders>
            <w:shd w:val="clear" w:color="auto" w:fill="auto"/>
            <w:vAlign w:val="center"/>
            <w:hideMark/>
          </w:tcPr>
          <w:p w14:paraId="3A8400A9"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506,015,839.72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751A255D"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4.49%</w:t>
            </w:r>
          </w:p>
        </w:tc>
        <w:tc>
          <w:tcPr>
            <w:tcW w:w="332" w:type="pct"/>
            <w:tcBorders>
              <w:top w:val="nil"/>
              <w:left w:val="nil"/>
              <w:bottom w:val="single" w:sz="4" w:space="0" w:color="auto"/>
              <w:right w:val="single" w:sz="8" w:space="0" w:color="auto"/>
            </w:tcBorders>
            <w:shd w:val="clear" w:color="auto" w:fill="auto"/>
            <w:vAlign w:val="center"/>
            <w:hideMark/>
          </w:tcPr>
          <w:p w14:paraId="0718560D"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4.43%</w:t>
            </w:r>
          </w:p>
        </w:tc>
        <w:tc>
          <w:tcPr>
            <w:tcW w:w="321" w:type="pct"/>
            <w:tcBorders>
              <w:top w:val="nil"/>
              <w:left w:val="nil"/>
              <w:bottom w:val="single" w:sz="4" w:space="0" w:color="auto"/>
              <w:right w:val="single" w:sz="8" w:space="0" w:color="auto"/>
            </w:tcBorders>
            <w:shd w:val="clear" w:color="auto" w:fill="auto"/>
            <w:vAlign w:val="center"/>
            <w:hideMark/>
          </w:tcPr>
          <w:p w14:paraId="4BA9EE8A"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4.42%</w:t>
            </w:r>
          </w:p>
        </w:tc>
        <w:tc>
          <w:tcPr>
            <w:tcW w:w="290" w:type="pct"/>
            <w:tcBorders>
              <w:top w:val="nil"/>
              <w:left w:val="nil"/>
              <w:bottom w:val="single" w:sz="4" w:space="0" w:color="auto"/>
              <w:right w:val="single" w:sz="8" w:space="0" w:color="auto"/>
            </w:tcBorders>
            <w:shd w:val="clear" w:color="auto" w:fill="auto"/>
            <w:vAlign w:val="center"/>
            <w:hideMark/>
          </w:tcPr>
          <w:p w14:paraId="5130F85A"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4.42%</w:t>
            </w:r>
          </w:p>
        </w:tc>
      </w:tr>
      <w:tr w:rsidR="00D21942" w:rsidRPr="00D21942" w14:paraId="560A0507" w14:textId="77777777" w:rsidTr="00D21942">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4BF2C494"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w:t>
            </w:r>
          </w:p>
        </w:tc>
        <w:tc>
          <w:tcPr>
            <w:tcW w:w="406" w:type="pct"/>
            <w:tcBorders>
              <w:top w:val="nil"/>
              <w:left w:val="nil"/>
              <w:bottom w:val="single" w:sz="4" w:space="0" w:color="auto"/>
              <w:right w:val="single" w:sz="8" w:space="0" w:color="auto"/>
            </w:tcBorders>
            <w:shd w:val="clear" w:color="auto" w:fill="auto"/>
            <w:vAlign w:val="center"/>
            <w:hideMark/>
          </w:tcPr>
          <w:p w14:paraId="3B6C3A42"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Development</w:t>
            </w:r>
          </w:p>
        </w:tc>
        <w:tc>
          <w:tcPr>
            <w:tcW w:w="558" w:type="pct"/>
            <w:tcBorders>
              <w:top w:val="nil"/>
              <w:left w:val="nil"/>
              <w:bottom w:val="single" w:sz="4" w:space="0" w:color="auto"/>
              <w:right w:val="single" w:sz="8" w:space="0" w:color="auto"/>
            </w:tcBorders>
            <w:shd w:val="clear" w:color="auto" w:fill="auto"/>
            <w:vAlign w:val="center"/>
            <w:hideMark/>
          </w:tcPr>
          <w:p w14:paraId="4203BD4F"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8,500,000.00 </w:t>
            </w:r>
          </w:p>
        </w:tc>
        <w:tc>
          <w:tcPr>
            <w:tcW w:w="569" w:type="pct"/>
            <w:tcBorders>
              <w:top w:val="nil"/>
              <w:left w:val="nil"/>
              <w:bottom w:val="single" w:sz="4" w:space="0" w:color="auto"/>
              <w:right w:val="single" w:sz="8" w:space="0" w:color="auto"/>
            </w:tcBorders>
            <w:shd w:val="clear" w:color="auto" w:fill="auto"/>
            <w:vAlign w:val="center"/>
            <w:hideMark/>
          </w:tcPr>
          <w:p w14:paraId="2482568B"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15,000,000.00 </w:t>
            </w:r>
          </w:p>
        </w:tc>
        <w:tc>
          <w:tcPr>
            <w:tcW w:w="522" w:type="pct"/>
            <w:tcBorders>
              <w:top w:val="nil"/>
              <w:left w:val="nil"/>
              <w:bottom w:val="single" w:sz="4" w:space="0" w:color="auto"/>
              <w:right w:val="single" w:sz="8" w:space="0" w:color="auto"/>
            </w:tcBorders>
            <w:shd w:val="clear" w:color="auto" w:fill="auto"/>
            <w:vAlign w:val="center"/>
            <w:hideMark/>
          </w:tcPr>
          <w:p w14:paraId="373ED9FB"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16,500,000.00 </w:t>
            </w:r>
          </w:p>
        </w:tc>
        <w:tc>
          <w:tcPr>
            <w:tcW w:w="469" w:type="pct"/>
            <w:tcBorders>
              <w:top w:val="nil"/>
              <w:left w:val="nil"/>
              <w:bottom w:val="single" w:sz="4" w:space="0" w:color="auto"/>
              <w:right w:val="nil"/>
            </w:tcBorders>
            <w:shd w:val="clear" w:color="auto" w:fill="auto"/>
            <w:vAlign w:val="center"/>
            <w:hideMark/>
          </w:tcPr>
          <w:p w14:paraId="013D309A"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18,500,000.00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237E4330"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0.08%</w:t>
            </w:r>
          </w:p>
        </w:tc>
        <w:tc>
          <w:tcPr>
            <w:tcW w:w="332" w:type="pct"/>
            <w:tcBorders>
              <w:top w:val="nil"/>
              <w:left w:val="nil"/>
              <w:bottom w:val="single" w:sz="4" w:space="0" w:color="auto"/>
              <w:right w:val="single" w:sz="8" w:space="0" w:color="auto"/>
            </w:tcBorders>
            <w:shd w:val="clear" w:color="auto" w:fill="auto"/>
            <w:vAlign w:val="center"/>
            <w:hideMark/>
          </w:tcPr>
          <w:p w14:paraId="3DE4479B"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0.14%</w:t>
            </w:r>
          </w:p>
        </w:tc>
        <w:tc>
          <w:tcPr>
            <w:tcW w:w="321" w:type="pct"/>
            <w:tcBorders>
              <w:top w:val="nil"/>
              <w:left w:val="nil"/>
              <w:bottom w:val="single" w:sz="4" w:space="0" w:color="auto"/>
              <w:right w:val="single" w:sz="8" w:space="0" w:color="auto"/>
            </w:tcBorders>
            <w:shd w:val="clear" w:color="auto" w:fill="auto"/>
            <w:vAlign w:val="center"/>
            <w:hideMark/>
          </w:tcPr>
          <w:p w14:paraId="799BC901"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0.15%</w:t>
            </w:r>
          </w:p>
        </w:tc>
        <w:tc>
          <w:tcPr>
            <w:tcW w:w="290" w:type="pct"/>
            <w:tcBorders>
              <w:top w:val="nil"/>
              <w:left w:val="nil"/>
              <w:bottom w:val="single" w:sz="4" w:space="0" w:color="auto"/>
              <w:right w:val="single" w:sz="8" w:space="0" w:color="auto"/>
            </w:tcBorders>
            <w:shd w:val="clear" w:color="auto" w:fill="auto"/>
            <w:vAlign w:val="center"/>
            <w:hideMark/>
          </w:tcPr>
          <w:p w14:paraId="687B1CBA"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0.16%</w:t>
            </w:r>
          </w:p>
        </w:tc>
      </w:tr>
      <w:tr w:rsidR="00D21942" w:rsidRPr="00D21942" w14:paraId="70F979DE" w14:textId="77777777" w:rsidTr="00D21942">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596FC83D"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w:t>
            </w:r>
          </w:p>
        </w:tc>
        <w:tc>
          <w:tcPr>
            <w:tcW w:w="406" w:type="pct"/>
            <w:tcBorders>
              <w:top w:val="nil"/>
              <w:left w:val="nil"/>
              <w:bottom w:val="single" w:sz="4" w:space="0" w:color="auto"/>
              <w:right w:val="single" w:sz="8" w:space="0" w:color="auto"/>
            </w:tcBorders>
            <w:shd w:val="clear" w:color="auto" w:fill="auto"/>
            <w:vAlign w:val="center"/>
            <w:hideMark/>
          </w:tcPr>
          <w:p w14:paraId="3061BF2D"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Sub-Total</w:t>
            </w:r>
          </w:p>
        </w:tc>
        <w:tc>
          <w:tcPr>
            <w:tcW w:w="558" w:type="pct"/>
            <w:tcBorders>
              <w:top w:val="nil"/>
              <w:left w:val="nil"/>
              <w:bottom w:val="single" w:sz="4" w:space="0" w:color="auto"/>
              <w:right w:val="single" w:sz="8" w:space="0" w:color="auto"/>
            </w:tcBorders>
            <w:shd w:val="clear" w:color="auto" w:fill="auto"/>
            <w:vAlign w:val="center"/>
            <w:hideMark/>
          </w:tcPr>
          <w:p w14:paraId="30EFF438"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484,268,460.48 </w:t>
            </w:r>
          </w:p>
        </w:tc>
        <w:tc>
          <w:tcPr>
            <w:tcW w:w="569" w:type="pct"/>
            <w:tcBorders>
              <w:top w:val="nil"/>
              <w:left w:val="nil"/>
              <w:bottom w:val="single" w:sz="4" w:space="0" w:color="auto"/>
              <w:right w:val="single" w:sz="8" w:space="0" w:color="auto"/>
            </w:tcBorders>
            <w:shd w:val="clear" w:color="auto" w:fill="auto"/>
            <w:vAlign w:val="center"/>
            <w:hideMark/>
          </w:tcPr>
          <w:p w14:paraId="0078DE24"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491,968,460.48 </w:t>
            </w:r>
          </w:p>
        </w:tc>
        <w:tc>
          <w:tcPr>
            <w:tcW w:w="522" w:type="pct"/>
            <w:tcBorders>
              <w:top w:val="nil"/>
              <w:left w:val="nil"/>
              <w:bottom w:val="single" w:sz="4" w:space="0" w:color="auto"/>
              <w:right w:val="single" w:sz="8" w:space="0" w:color="auto"/>
            </w:tcBorders>
            <w:shd w:val="clear" w:color="auto" w:fill="auto"/>
            <w:vAlign w:val="center"/>
            <w:hideMark/>
          </w:tcPr>
          <w:p w14:paraId="37EEBDBB"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507,777,514.30 </w:t>
            </w:r>
          </w:p>
        </w:tc>
        <w:tc>
          <w:tcPr>
            <w:tcW w:w="469" w:type="pct"/>
            <w:tcBorders>
              <w:top w:val="nil"/>
              <w:left w:val="nil"/>
              <w:bottom w:val="single" w:sz="4" w:space="0" w:color="auto"/>
              <w:right w:val="nil"/>
            </w:tcBorders>
            <w:shd w:val="clear" w:color="auto" w:fill="auto"/>
            <w:vAlign w:val="center"/>
            <w:hideMark/>
          </w:tcPr>
          <w:p w14:paraId="5CF180AE"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524,515,839.72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37E27F09"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4.57%</w:t>
            </w:r>
          </w:p>
        </w:tc>
        <w:tc>
          <w:tcPr>
            <w:tcW w:w="332" w:type="pct"/>
            <w:tcBorders>
              <w:top w:val="nil"/>
              <w:left w:val="nil"/>
              <w:bottom w:val="single" w:sz="4" w:space="0" w:color="auto"/>
              <w:right w:val="single" w:sz="8" w:space="0" w:color="auto"/>
            </w:tcBorders>
            <w:shd w:val="clear" w:color="auto" w:fill="auto"/>
            <w:vAlign w:val="center"/>
            <w:hideMark/>
          </w:tcPr>
          <w:p w14:paraId="07303E5C"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4.57%</w:t>
            </w:r>
          </w:p>
        </w:tc>
        <w:tc>
          <w:tcPr>
            <w:tcW w:w="321" w:type="pct"/>
            <w:tcBorders>
              <w:top w:val="nil"/>
              <w:left w:val="nil"/>
              <w:bottom w:val="single" w:sz="4" w:space="0" w:color="auto"/>
              <w:right w:val="single" w:sz="8" w:space="0" w:color="auto"/>
            </w:tcBorders>
            <w:shd w:val="clear" w:color="auto" w:fill="auto"/>
            <w:vAlign w:val="center"/>
            <w:hideMark/>
          </w:tcPr>
          <w:p w14:paraId="60D50AD7"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4.57%</w:t>
            </w:r>
          </w:p>
        </w:tc>
        <w:tc>
          <w:tcPr>
            <w:tcW w:w="290" w:type="pct"/>
            <w:tcBorders>
              <w:top w:val="nil"/>
              <w:left w:val="nil"/>
              <w:bottom w:val="single" w:sz="4" w:space="0" w:color="auto"/>
              <w:right w:val="single" w:sz="8" w:space="0" w:color="auto"/>
            </w:tcBorders>
            <w:shd w:val="clear" w:color="auto" w:fill="auto"/>
            <w:vAlign w:val="center"/>
            <w:hideMark/>
          </w:tcPr>
          <w:p w14:paraId="680DB584"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4.58%</w:t>
            </w:r>
          </w:p>
        </w:tc>
      </w:tr>
      <w:tr w:rsidR="00D21942" w:rsidRPr="00D21942" w14:paraId="23A56862" w14:textId="77777777" w:rsidTr="00D21942">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2DC52F96"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Agriculture, Livestock &amp;, Fisheries</w:t>
            </w:r>
          </w:p>
        </w:tc>
        <w:tc>
          <w:tcPr>
            <w:tcW w:w="406" w:type="pct"/>
            <w:tcBorders>
              <w:top w:val="nil"/>
              <w:left w:val="nil"/>
              <w:bottom w:val="single" w:sz="4" w:space="0" w:color="auto"/>
              <w:right w:val="single" w:sz="8" w:space="0" w:color="auto"/>
            </w:tcBorders>
            <w:shd w:val="clear" w:color="auto" w:fill="auto"/>
            <w:vAlign w:val="center"/>
            <w:hideMark/>
          </w:tcPr>
          <w:p w14:paraId="00BF6397"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Recurrent</w:t>
            </w:r>
          </w:p>
        </w:tc>
        <w:tc>
          <w:tcPr>
            <w:tcW w:w="558" w:type="pct"/>
            <w:tcBorders>
              <w:top w:val="nil"/>
              <w:left w:val="nil"/>
              <w:bottom w:val="single" w:sz="4" w:space="0" w:color="auto"/>
              <w:right w:val="single" w:sz="8" w:space="0" w:color="auto"/>
            </w:tcBorders>
            <w:shd w:val="clear" w:color="auto" w:fill="auto"/>
            <w:vAlign w:val="center"/>
            <w:hideMark/>
          </w:tcPr>
          <w:p w14:paraId="495C4004"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320,820,000.00 </w:t>
            </w:r>
          </w:p>
        </w:tc>
        <w:tc>
          <w:tcPr>
            <w:tcW w:w="569" w:type="pct"/>
            <w:tcBorders>
              <w:top w:val="nil"/>
              <w:left w:val="nil"/>
              <w:bottom w:val="single" w:sz="4" w:space="0" w:color="auto"/>
              <w:right w:val="single" w:sz="8" w:space="0" w:color="auto"/>
            </w:tcBorders>
            <w:shd w:val="clear" w:color="auto" w:fill="auto"/>
            <w:vAlign w:val="center"/>
            <w:hideMark/>
          </w:tcPr>
          <w:p w14:paraId="7310C114"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322,020,000.00 </w:t>
            </w:r>
          </w:p>
        </w:tc>
        <w:tc>
          <w:tcPr>
            <w:tcW w:w="522" w:type="pct"/>
            <w:tcBorders>
              <w:top w:val="nil"/>
              <w:left w:val="nil"/>
              <w:bottom w:val="single" w:sz="4" w:space="0" w:color="auto"/>
              <w:right w:val="single" w:sz="8" w:space="0" w:color="auto"/>
            </w:tcBorders>
            <w:shd w:val="clear" w:color="auto" w:fill="auto"/>
            <w:vAlign w:val="center"/>
            <w:hideMark/>
          </w:tcPr>
          <w:p w14:paraId="64CC0996"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331,680,600.00 </w:t>
            </w:r>
          </w:p>
        </w:tc>
        <w:tc>
          <w:tcPr>
            <w:tcW w:w="469" w:type="pct"/>
            <w:tcBorders>
              <w:top w:val="nil"/>
              <w:left w:val="nil"/>
              <w:bottom w:val="single" w:sz="4" w:space="0" w:color="auto"/>
              <w:right w:val="nil"/>
            </w:tcBorders>
            <w:shd w:val="clear" w:color="auto" w:fill="auto"/>
            <w:vAlign w:val="center"/>
            <w:hideMark/>
          </w:tcPr>
          <w:p w14:paraId="029899EF"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341,631,018.00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33562284"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3.02%</w:t>
            </w:r>
          </w:p>
        </w:tc>
        <w:tc>
          <w:tcPr>
            <w:tcW w:w="332" w:type="pct"/>
            <w:tcBorders>
              <w:top w:val="nil"/>
              <w:left w:val="nil"/>
              <w:bottom w:val="single" w:sz="4" w:space="0" w:color="auto"/>
              <w:right w:val="single" w:sz="8" w:space="0" w:color="auto"/>
            </w:tcBorders>
            <w:shd w:val="clear" w:color="auto" w:fill="auto"/>
            <w:vAlign w:val="center"/>
            <w:hideMark/>
          </w:tcPr>
          <w:p w14:paraId="0A7700BE"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2.99%</w:t>
            </w:r>
          </w:p>
        </w:tc>
        <w:tc>
          <w:tcPr>
            <w:tcW w:w="321" w:type="pct"/>
            <w:tcBorders>
              <w:top w:val="nil"/>
              <w:left w:val="nil"/>
              <w:bottom w:val="single" w:sz="4" w:space="0" w:color="auto"/>
              <w:right w:val="single" w:sz="8" w:space="0" w:color="auto"/>
            </w:tcBorders>
            <w:shd w:val="clear" w:color="auto" w:fill="auto"/>
            <w:vAlign w:val="center"/>
            <w:hideMark/>
          </w:tcPr>
          <w:p w14:paraId="12643AE3"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2.99%</w:t>
            </w:r>
          </w:p>
        </w:tc>
        <w:tc>
          <w:tcPr>
            <w:tcW w:w="290" w:type="pct"/>
            <w:tcBorders>
              <w:top w:val="nil"/>
              <w:left w:val="nil"/>
              <w:bottom w:val="single" w:sz="4" w:space="0" w:color="auto"/>
              <w:right w:val="single" w:sz="8" w:space="0" w:color="auto"/>
            </w:tcBorders>
            <w:shd w:val="clear" w:color="auto" w:fill="auto"/>
            <w:vAlign w:val="center"/>
            <w:hideMark/>
          </w:tcPr>
          <w:p w14:paraId="2A33E358"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2.98%</w:t>
            </w:r>
          </w:p>
        </w:tc>
      </w:tr>
      <w:tr w:rsidR="00D21942" w:rsidRPr="00D21942" w14:paraId="23CDCD87" w14:textId="77777777" w:rsidTr="00D21942">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1BA24109"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w:t>
            </w:r>
          </w:p>
        </w:tc>
        <w:tc>
          <w:tcPr>
            <w:tcW w:w="406" w:type="pct"/>
            <w:tcBorders>
              <w:top w:val="nil"/>
              <w:left w:val="nil"/>
              <w:bottom w:val="single" w:sz="4" w:space="0" w:color="auto"/>
              <w:right w:val="single" w:sz="8" w:space="0" w:color="auto"/>
            </w:tcBorders>
            <w:shd w:val="clear" w:color="auto" w:fill="auto"/>
            <w:vAlign w:val="center"/>
            <w:hideMark/>
          </w:tcPr>
          <w:p w14:paraId="3AA5AA0C"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Development</w:t>
            </w:r>
          </w:p>
        </w:tc>
        <w:tc>
          <w:tcPr>
            <w:tcW w:w="558" w:type="pct"/>
            <w:tcBorders>
              <w:top w:val="nil"/>
              <w:left w:val="nil"/>
              <w:bottom w:val="single" w:sz="4" w:space="0" w:color="auto"/>
              <w:right w:val="single" w:sz="8" w:space="0" w:color="auto"/>
            </w:tcBorders>
            <w:shd w:val="clear" w:color="auto" w:fill="auto"/>
            <w:vAlign w:val="center"/>
            <w:hideMark/>
          </w:tcPr>
          <w:p w14:paraId="0079558C"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405,446,989.00 </w:t>
            </w:r>
          </w:p>
        </w:tc>
        <w:tc>
          <w:tcPr>
            <w:tcW w:w="569" w:type="pct"/>
            <w:tcBorders>
              <w:top w:val="nil"/>
              <w:left w:val="nil"/>
              <w:bottom w:val="single" w:sz="4" w:space="0" w:color="auto"/>
              <w:right w:val="single" w:sz="8" w:space="0" w:color="auto"/>
            </w:tcBorders>
            <w:shd w:val="clear" w:color="auto" w:fill="auto"/>
            <w:vAlign w:val="center"/>
            <w:hideMark/>
          </w:tcPr>
          <w:p w14:paraId="49D37E67"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466,040,000.00 </w:t>
            </w:r>
          </w:p>
        </w:tc>
        <w:tc>
          <w:tcPr>
            <w:tcW w:w="522" w:type="pct"/>
            <w:tcBorders>
              <w:top w:val="nil"/>
              <w:left w:val="nil"/>
              <w:bottom w:val="single" w:sz="4" w:space="0" w:color="auto"/>
              <w:right w:val="single" w:sz="8" w:space="0" w:color="auto"/>
            </w:tcBorders>
            <w:shd w:val="clear" w:color="auto" w:fill="auto"/>
            <w:vAlign w:val="center"/>
            <w:hideMark/>
          </w:tcPr>
          <w:p w14:paraId="51A50524"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486,040,000.00 </w:t>
            </w:r>
          </w:p>
        </w:tc>
        <w:tc>
          <w:tcPr>
            <w:tcW w:w="469" w:type="pct"/>
            <w:tcBorders>
              <w:top w:val="nil"/>
              <w:left w:val="nil"/>
              <w:bottom w:val="single" w:sz="4" w:space="0" w:color="auto"/>
              <w:right w:val="nil"/>
            </w:tcBorders>
            <w:shd w:val="clear" w:color="auto" w:fill="auto"/>
            <w:vAlign w:val="center"/>
            <w:hideMark/>
          </w:tcPr>
          <w:p w14:paraId="42C32592"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500,621,200.00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538536AB"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3.82%</w:t>
            </w:r>
          </w:p>
        </w:tc>
        <w:tc>
          <w:tcPr>
            <w:tcW w:w="332" w:type="pct"/>
            <w:tcBorders>
              <w:top w:val="nil"/>
              <w:left w:val="nil"/>
              <w:bottom w:val="single" w:sz="4" w:space="0" w:color="auto"/>
              <w:right w:val="single" w:sz="8" w:space="0" w:color="auto"/>
            </w:tcBorders>
            <w:shd w:val="clear" w:color="auto" w:fill="auto"/>
            <w:vAlign w:val="center"/>
            <w:hideMark/>
          </w:tcPr>
          <w:p w14:paraId="388F15CA"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4.33%</w:t>
            </w:r>
          </w:p>
        </w:tc>
        <w:tc>
          <w:tcPr>
            <w:tcW w:w="321" w:type="pct"/>
            <w:tcBorders>
              <w:top w:val="nil"/>
              <w:left w:val="nil"/>
              <w:bottom w:val="single" w:sz="4" w:space="0" w:color="auto"/>
              <w:right w:val="single" w:sz="8" w:space="0" w:color="auto"/>
            </w:tcBorders>
            <w:shd w:val="clear" w:color="auto" w:fill="auto"/>
            <w:vAlign w:val="center"/>
            <w:hideMark/>
          </w:tcPr>
          <w:p w14:paraId="6443ADCA"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4.38%</w:t>
            </w:r>
          </w:p>
        </w:tc>
        <w:tc>
          <w:tcPr>
            <w:tcW w:w="290" w:type="pct"/>
            <w:tcBorders>
              <w:top w:val="nil"/>
              <w:left w:val="nil"/>
              <w:bottom w:val="single" w:sz="4" w:space="0" w:color="auto"/>
              <w:right w:val="single" w:sz="8" w:space="0" w:color="auto"/>
            </w:tcBorders>
            <w:shd w:val="clear" w:color="auto" w:fill="auto"/>
            <w:vAlign w:val="center"/>
            <w:hideMark/>
          </w:tcPr>
          <w:p w14:paraId="136EFC32"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4.37%</w:t>
            </w:r>
          </w:p>
        </w:tc>
      </w:tr>
      <w:tr w:rsidR="00D21942" w:rsidRPr="00D21942" w14:paraId="1D9BF991" w14:textId="77777777" w:rsidTr="00D21942">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295272D6"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w:t>
            </w:r>
          </w:p>
        </w:tc>
        <w:tc>
          <w:tcPr>
            <w:tcW w:w="406" w:type="pct"/>
            <w:tcBorders>
              <w:top w:val="nil"/>
              <w:left w:val="nil"/>
              <w:bottom w:val="single" w:sz="4" w:space="0" w:color="auto"/>
              <w:right w:val="single" w:sz="8" w:space="0" w:color="auto"/>
            </w:tcBorders>
            <w:shd w:val="clear" w:color="auto" w:fill="auto"/>
            <w:vAlign w:val="center"/>
            <w:hideMark/>
          </w:tcPr>
          <w:p w14:paraId="5B0C3775"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Sub-Total</w:t>
            </w:r>
          </w:p>
        </w:tc>
        <w:tc>
          <w:tcPr>
            <w:tcW w:w="558" w:type="pct"/>
            <w:tcBorders>
              <w:top w:val="nil"/>
              <w:left w:val="nil"/>
              <w:bottom w:val="single" w:sz="4" w:space="0" w:color="auto"/>
              <w:right w:val="single" w:sz="8" w:space="0" w:color="auto"/>
            </w:tcBorders>
            <w:shd w:val="clear" w:color="auto" w:fill="auto"/>
            <w:vAlign w:val="center"/>
            <w:hideMark/>
          </w:tcPr>
          <w:p w14:paraId="7EB87AC9"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726,266,989.00 </w:t>
            </w:r>
          </w:p>
        </w:tc>
        <w:tc>
          <w:tcPr>
            <w:tcW w:w="569" w:type="pct"/>
            <w:tcBorders>
              <w:top w:val="nil"/>
              <w:left w:val="nil"/>
              <w:bottom w:val="single" w:sz="4" w:space="0" w:color="auto"/>
              <w:right w:val="single" w:sz="8" w:space="0" w:color="auto"/>
            </w:tcBorders>
            <w:shd w:val="clear" w:color="auto" w:fill="auto"/>
            <w:vAlign w:val="center"/>
            <w:hideMark/>
          </w:tcPr>
          <w:p w14:paraId="064B77D2"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788,060,000.00 </w:t>
            </w:r>
          </w:p>
        </w:tc>
        <w:tc>
          <w:tcPr>
            <w:tcW w:w="522" w:type="pct"/>
            <w:tcBorders>
              <w:top w:val="nil"/>
              <w:left w:val="nil"/>
              <w:bottom w:val="single" w:sz="4" w:space="0" w:color="auto"/>
              <w:right w:val="single" w:sz="8" w:space="0" w:color="auto"/>
            </w:tcBorders>
            <w:shd w:val="clear" w:color="auto" w:fill="auto"/>
            <w:vAlign w:val="center"/>
            <w:hideMark/>
          </w:tcPr>
          <w:p w14:paraId="18405E13"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817,720,600.00 </w:t>
            </w:r>
          </w:p>
        </w:tc>
        <w:tc>
          <w:tcPr>
            <w:tcW w:w="469" w:type="pct"/>
            <w:tcBorders>
              <w:top w:val="nil"/>
              <w:left w:val="nil"/>
              <w:bottom w:val="single" w:sz="4" w:space="0" w:color="auto"/>
              <w:right w:val="nil"/>
            </w:tcBorders>
            <w:shd w:val="clear" w:color="auto" w:fill="auto"/>
            <w:vAlign w:val="center"/>
            <w:hideMark/>
          </w:tcPr>
          <w:p w14:paraId="7865CDE0"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842,252,218.00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7497F572"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6.85%</w:t>
            </w:r>
          </w:p>
        </w:tc>
        <w:tc>
          <w:tcPr>
            <w:tcW w:w="332" w:type="pct"/>
            <w:tcBorders>
              <w:top w:val="nil"/>
              <w:left w:val="nil"/>
              <w:bottom w:val="single" w:sz="4" w:space="0" w:color="auto"/>
              <w:right w:val="single" w:sz="8" w:space="0" w:color="auto"/>
            </w:tcBorders>
            <w:shd w:val="clear" w:color="auto" w:fill="auto"/>
            <w:vAlign w:val="center"/>
            <w:hideMark/>
          </w:tcPr>
          <w:p w14:paraId="04B005FC"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7.32%</w:t>
            </w:r>
          </w:p>
        </w:tc>
        <w:tc>
          <w:tcPr>
            <w:tcW w:w="321" w:type="pct"/>
            <w:tcBorders>
              <w:top w:val="nil"/>
              <w:left w:val="nil"/>
              <w:bottom w:val="single" w:sz="4" w:space="0" w:color="auto"/>
              <w:right w:val="single" w:sz="8" w:space="0" w:color="auto"/>
            </w:tcBorders>
            <w:shd w:val="clear" w:color="auto" w:fill="auto"/>
            <w:vAlign w:val="center"/>
            <w:hideMark/>
          </w:tcPr>
          <w:p w14:paraId="6FE259DA"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7.36%</w:t>
            </w:r>
          </w:p>
        </w:tc>
        <w:tc>
          <w:tcPr>
            <w:tcW w:w="290" w:type="pct"/>
            <w:tcBorders>
              <w:top w:val="nil"/>
              <w:left w:val="nil"/>
              <w:bottom w:val="single" w:sz="4" w:space="0" w:color="auto"/>
              <w:right w:val="single" w:sz="8" w:space="0" w:color="auto"/>
            </w:tcBorders>
            <w:shd w:val="clear" w:color="auto" w:fill="auto"/>
            <w:vAlign w:val="center"/>
            <w:hideMark/>
          </w:tcPr>
          <w:p w14:paraId="599E0112"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7.36%</w:t>
            </w:r>
          </w:p>
        </w:tc>
      </w:tr>
      <w:tr w:rsidR="00D21942" w:rsidRPr="00D21942" w14:paraId="4F6AB7CA" w14:textId="77777777" w:rsidTr="00D21942">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03C1E3FB"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Water &amp; Irrigation</w:t>
            </w:r>
          </w:p>
        </w:tc>
        <w:tc>
          <w:tcPr>
            <w:tcW w:w="406" w:type="pct"/>
            <w:tcBorders>
              <w:top w:val="nil"/>
              <w:left w:val="nil"/>
              <w:bottom w:val="single" w:sz="4" w:space="0" w:color="auto"/>
              <w:right w:val="single" w:sz="8" w:space="0" w:color="auto"/>
            </w:tcBorders>
            <w:shd w:val="clear" w:color="auto" w:fill="auto"/>
            <w:vAlign w:val="center"/>
            <w:hideMark/>
          </w:tcPr>
          <w:p w14:paraId="4053BF6B"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Recurrent</w:t>
            </w:r>
          </w:p>
        </w:tc>
        <w:tc>
          <w:tcPr>
            <w:tcW w:w="558" w:type="pct"/>
            <w:tcBorders>
              <w:top w:val="nil"/>
              <w:left w:val="nil"/>
              <w:bottom w:val="single" w:sz="4" w:space="0" w:color="auto"/>
              <w:right w:val="single" w:sz="8" w:space="0" w:color="auto"/>
            </w:tcBorders>
            <w:shd w:val="clear" w:color="auto" w:fill="auto"/>
            <w:vAlign w:val="center"/>
            <w:hideMark/>
          </w:tcPr>
          <w:p w14:paraId="67E33E4A"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111,120,000.00 </w:t>
            </w:r>
          </w:p>
        </w:tc>
        <w:tc>
          <w:tcPr>
            <w:tcW w:w="569" w:type="pct"/>
            <w:tcBorders>
              <w:top w:val="nil"/>
              <w:left w:val="nil"/>
              <w:bottom w:val="single" w:sz="4" w:space="0" w:color="auto"/>
              <w:right w:val="single" w:sz="8" w:space="0" w:color="auto"/>
            </w:tcBorders>
            <w:shd w:val="clear" w:color="auto" w:fill="auto"/>
            <w:vAlign w:val="center"/>
            <w:hideMark/>
          </w:tcPr>
          <w:p w14:paraId="13D99598"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113,342,400.00 </w:t>
            </w:r>
          </w:p>
        </w:tc>
        <w:tc>
          <w:tcPr>
            <w:tcW w:w="522" w:type="pct"/>
            <w:tcBorders>
              <w:top w:val="nil"/>
              <w:left w:val="nil"/>
              <w:bottom w:val="single" w:sz="4" w:space="0" w:color="auto"/>
              <w:right w:val="single" w:sz="8" w:space="0" w:color="auto"/>
            </w:tcBorders>
            <w:shd w:val="clear" w:color="auto" w:fill="auto"/>
            <w:vAlign w:val="center"/>
            <w:hideMark/>
          </w:tcPr>
          <w:p w14:paraId="1D4CB399"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116,742,672.00 </w:t>
            </w:r>
          </w:p>
        </w:tc>
        <w:tc>
          <w:tcPr>
            <w:tcW w:w="469" w:type="pct"/>
            <w:tcBorders>
              <w:top w:val="nil"/>
              <w:left w:val="nil"/>
              <w:bottom w:val="single" w:sz="4" w:space="0" w:color="auto"/>
              <w:right w:val="nil"/>
            </w:tcBorders>
            <w:shd w:val="clear" w:color="auto" w:fill="auto"/>
            <w:vAlign w:val="center"/>
            <w:hideMark/>
          </w:tcPr>
          <w:p w14:paraId="2292C415"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120,244,952.16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737928C0"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1.05%</w:t>
            </w:r>
          </w:p>
        </w:tc>
        <w:tc>
          <w:tcPr>
            <w:tcW w:w="332" w:type="pct"/>
            <w:tcBorders>
              <w:top w:val="nil"/>
              <w:left w:val="nil"/>
              <w:bottom w:val="single" w:sz="4" w:space="0" w:color="auto"/>
              <w:right w:val="single" w:sz="8" w:space="0" w:color="auto"/>
            </w:tcBorders>
            <w:shd w:val="clear" w:color="auto" w:fill="auto"/>
            <w:vAlign w:val="center"/>
            <w:hideMark/>
          </w:tcPr>
          <w:p w14:paraId="0A1D46C3"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1.05%</w:t>
            </w:r>
          </w:p>
        </w:tc>
        <w:tc>
          <w:tcPr>
            <w:tcW w:w="321" w:type="pct"/>
            <w:tcBorders>
              <w:top w:val="nil"/>
              <w:left w:val="nil"/>
              <w:bottom w:val="single" w:sz="4" w:space="0" w:color="auto"/>
              <w:right w:val="single" w:sz="8" w:space="0" w:color="auto"/>
            </w:tcBorders>
            <w:shd w:val="clear" w:color="auto" w:fill="auto"/>
            <w:vAlign w:val="center"/>
            <w:hideMark/>
          </w:tcPr>
          <w:p w14:paraId="203067CE"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1.05%</w:t>
            </w:r>
          </w:p>
        </w:tc>
        <w:tc>
          <w:tcPr>
            <w:tcW w:w="290" w:type="pct"/>
            <w:tcBorders>
              <w:top w:val="nil"/>
              <w:left w:val="nil"/>
              <w:bottom w:val="single" w:sz="4" w:space="0" w:color="auto"/>
              <w:right w:val="single" w:sz="8" w:space="0" w:color="auto"/>
            </w:tcBorders>
            <w:shd w:val="clear" w:color="auto" w:fill="auto"/>
            <w:vAlign w:val="center"/>
            <w:hideMark/>
          </w:tcPr>
          <w:p w14:paraId="7C0B0FD1"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1.05%</w:t>
            </w:r>
          </w:p>
        </w:tc>
      </w:tr>
      <w:tr w:rsidR="00D21942" w:rsidRPr="00D21942" w14:paraId="064F02A8" w14:textId="77777777" w:rsidTr="00D21942">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4C19ABC1"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w:t>
            </w:r>
          </w:p>
        </w:tc>
        <w:tc>
          <w:tcPr>
            <w:tcW w:w="406" w:type="pct"/>
            <w:tcBorders>
              <w:top w:val="nil"/>
              <w:left w:val="nil"/>
              <w:bottom w:val="single" w:sz="4" w:space="0" w:color="auto"/>
              <w:right w:val="single" w:sz="8" w:space="0" w:color="auto"/>
            </w:tcBorders>
            <w:shd w:val="clear" w:color="auto" w:fill="auto"/>
            <w:vAlign w:val="center"/>
            <w:hideMark/>
          </w:tcPr>
          <w:p w14:paraId="0FDEF01F"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Development</w:t>
            </w:r>
          </w:p>
        </w:tc>
        <w:tc>
          <w:tcPr>
            <w:tcW w:w="558" w:type="pct"/>
            <w:tcBorders>
              <w:top w:val="nil"/>
              <w:left w:val="nil"/>
              <w:bottom w:val="single" w:sz="4" w:space="0" w:color="auto"/>
              <w:right w:val="single" w:sz="8" w:space="0" w:color="auto"/>
            </w:tcBorders>
            <w:shd w:val="clear" w:color="auto" w:fill="auto"/>
            <w:vAlign w:val="center"/>
            <w:hideMark/>
          </w:tcPr>
          <w:p w14:paraId="76AE830A"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476,400,000.00 </w:t>
            </w:r>
          </w:p>
        </w:tc>
        <w:tc>
          <w:tcPr>
            <w:tcW w:w="569" w:type="pct"/>
            <w:tcBorders>
              <w:top w:val="nil"/>
              <w:left w:val="nil"/>
              <w:bottom w:val="single" w:sz="4" w:space="0" w:color="auto"/>
              <w:right w:val="single" w:sz="8" w:space="0" w:color="auto"/>
            </w:tcBorders>
            <w:shd w:val="clear" w:color="auto" w:fill="auto"/>
            <w:vAlign w:val="center"/>
            <w:hideMark/>
          </w:tcPr>
          <w:p w14:paraId="1FE6162A"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500,000,000.00 </w:t>
            </w:r>
          </w:p>
        </w:tc>
        <w:tc>
          <w:tcPr>
            <w:tcW w:w="522" w:type="pct"/>
            <w:tcBorders>
              <w:top w:val="nil"/>
              <w:left w:val="nil"/>
              <w:bottom w:val="single" w:sz="4" w:space="0" w:color="auto"/>
              <w:right w:val="single" w:sz="8" w:space="0" w:color="auto"/>
            </w:tcBorders>
            <w:shd w:val="clear" w:color="auto" w:fill="auto"/>
            <w:vAlign w:val="center"/>
            <w:hideMark/>
          </w:tcPr>
          <w:p w14:paraId="58ED0294"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515,000,000.00 </w:t>
            </w:r>
          </w:p>
        </w:tc>
        <w:tc>
          <w:tcPr>
            <w:tcW w:w="469" w:type="pct"/>
            <w:tcBorders>
              <w:top w:val="nil"/>
              <w:left w:val="nil"/>
              <w:bottom w:val="single" w:sz="4" w:space="0" w:color="auto"/>
              <w:right w:val="nil"/>
            </w:tcBorders>
            <w:shd w:val="clear" w:color="auto" w:fill="auto"/>
            <w:vAlign w:val="center"/>
            <w:hideMark/>
          </w:tcPr>
          <w:p w14:paraId="1788BFE2" w14:textId="77777777" w:rsidR="00D21942" w:rsidRPr="00D21942" w:rsidRDefault="00D21942" w:rsidP="00D21942">
            <w:pPr>
              <w:spacing w:after="0" w:line="240" w:lineRule="auto"/>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 xml:space="preserve">            530,450,000.00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74360BF4"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4.49%</w:t>
            </w:r>
          </w:p>
        </w:tc>
        <w:tc>
          <w:tcPr>
            <w:tcW w:w="332" w:type="pct"/>
            <w:tcBorders>
              <w:top w:val="nil"/>
              <w:left w:val="nil"/>
              <w:bottom w:val="single" w:sz="4" w:space="0" w:color="auto"/>
              <w:right w:val="single" w:sz="8" w:space="0" w:color="auto"/>
            </w:tcBorders>
            <w:shd w:val="clear" w:color="auto" w:fill="auto"/>
            <w:vAlign w:val="center"/>
            <w:hideMark/>
          </w:tcPr>
          <w:p w14:paraId="58757B16"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4.64%</w:t>
            </w:r>
          </w:p>
        </w:tc>
        <w:tc>
          <w:tcPr>
            <w:tcW w:w="321" w:type="pct"/>
            <w:tcBorders>
              <w:top w:val="nil"/>
              <w:left w:val="nil"/>
              <w:bottom w:val="single" w:sz="4" w:space="0" w:color="auto"/>
              <w:right w:val="single" w:sz="8" w:space="0" w:color="auto"/>
            </w:tcBorders>
            <w:shd w:val="clear" w:color="auto" w:fill="auto"/>
            <w:vAlign w:val="center"/>
            <w:hideMark/>
          </w:tcPr>
          <w:p w14:paraId="2DFFE6F7"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4.64%</w:t>
            </w:r>
          </w:p>
        </w:tc>
        <w:tc>
          <w:tcPr>
            <w:tcW w:w="290" w:type="pct"/>
            <w:tcBorders>
              <w:top w:val="nil"/>
              <w:left w:val="nil"/>
              <w:bottom w:val="single" w:sz="4" w:space="0" w:color="auto"/>
              <w:right w:val="single" w:sz="8" w:space="0" w:color="auto"/>
            </w:tcBorders>
            <w:shd w:val="clear" w:color="auto" w:fill="auto"/>
            <w:vAlign w:val="center"/>
            <w:hideMark/>
          </w:tcPr>
          <w:p w14:paraId="4D4C61C1" w14:textId="77777777" w:rsidR="00D21942" w:rsidRPr="00D21942" w:rsidRDefault="00D21942" w:rsidP="00D21942">
            <w:pPr>
              <w:spacing w:after="0" w:line="240" w:lineRule="auto"/>
              <w:jc w:val="center"/>
              <w:rPr>
                <w:rFonts w:ascii="Times New Roman" w:eastAsia="Times New Roman" w:hAnsi="Times New Roman" w:cs="Times New Roman"/>
                <w:color w:val="000000"/>
                <w:sz w:val="18"/>
                <w:szCs w:val="18"/>
              </w:rPr>
            </w:pPr>
            <w:r w:rsidRPr="00D21942">
              <w:rPr>
                <w:rFonts w:ascii="Times New Roman" w:eastAsia="Times New Roman" w:hAnsi="Times New Roman" w:cs="Times New Roman"/>
                <w:color w:val="000000"/>
                <w:sz w:val="18"/>
                <w:szCs w:val="18"/>
              </w:rPr>
              <w:t>4.63%</w:t>
            </w:r>
          </w:p>
        </w:tc>
      </w:tr>
      <w:tr w:rsidR="00D21942" w:rsidRPr="00D21942" w14:paraId="7AC32142" w14:textId="77777777" w:rsidTr="00D21942">
        <w:trPr>
          <w:trHeight w:val="330"/>
        </w:trPr>
        <w:tc>
          <w:tcPr>
            <w:tcW w:w="1207" w:type="pct"/>
            <w:tcBorders>
              <w:top w:val="nil"/>
              <w:left w:val="single" w:sz="8" w:space="0" w:color="auto"/>
              <w:bottom w:val="single" w:sz="8" w:space="0" w:color="auto"/>
              <w:right w:val="single" w:sz="8" w:space="0" w:color="auto"/>
            </w:tcBorders>
            <w:shd w:val="clear" w:color="auto" w:fill="auto"/>
            <w:vAlign w:val="center"/>
            <w:hideMark/>
          </w:tcPr>
          <w:p w14:paraId="20259CD5"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w:t>
            </w:r>
          </w:p>
        </w:tc>
        <w:tc>
          <w:tcPr>
            <w:tcW w:w="406" w:type="pct"/>
            <w:tcBorders>
              <w:top w:val="nil"/>
              <w:left w:val="nil"/>
              <w:bottom w:val="single" w:sz="8" w:space="0" w:color="auto"/>
              <w:right w:val="single" w:sz="8" w:space="0" w:color="auto"/>
            </w:tcBorders>
            <w:shd w:val="clear" w:color="auto" w:fill="auto"/>
            <w:vAlign w:val="center"/>
            <w:hideMark/>
          </w:tcPr>
          <w:p w14:paraId="5DFE5AE3"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Sub-Total</w:t>
            </w:r>
          </w:p>
        </w:tc>
        <w:tc>
          <w:tcPr>
            <w:tcW w:w="558" w:type="pct"/>
            <w:tcBorders>
              <w:top w:val="nil"/>
              <w:left w:val="nil"/>
              <w:bottom w:val="single" w:sz="8" w:space="0" w:color="auto"/>
              <w:right w:val="single" w:sz="8" w:space="0" w:color="auto"/>
            </w:tcBorders>
            <w:shd w:val="clear" w:color="auto" w:fill="auto"/>
            <w:vAlign w:val="center"/>
            <w:hideMark/>
          </w:tcPr>
          <w:p w14:paraId="01F1A98F"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587,520,000.00 </w:t>
            </w:r>
          </w:p>
        </w:tc>
        <w:tc>
          <w:tcPr>
            <w:tcW w:w="569" w:type="pct"/>
            <w:tcBorders>
              <w:top w:val="nil"/>
              <w:left w:val="nil"/>
              <w:bottom w:val="single" w:sz="8" w:space="0" w:color="auto"/>
              <w:right w:val="single" w:sz="8" w:space="0" w:color="auto"/>
            </w:tcBorders>
            <w:shd w:val="clear" w:color="auto" w:fill="auto"/>
            <w:vAlign w:val="center"/>
            <w:hideMark/>
          </w:tcPr>
          <w:p w14:paraId="2F02866D"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613,342,400.00 </w:t>
            </w:r>
          </w:p>
        </w:tc>
        <w:tc>
          <w:tcPr>
            <w:tcW w:w="522" w:type="pct"/>
            <w:tcBorders>
              <w:top w:val="nil"/>
              <w:left w:val="nil"/>
              <w:bottom w:val="single" w:sz="8" w:space="0" w:color="auto"/>
              <w:right w:val="single" w:sz="8" w:space="0" w:color="auto"/>
            </w:tcBorders>
            <w:shd w:val="clear" w:color="auto" w:fill="auto"/>
            <w:vAlign w:val="center"/>
            <w:hideMark/>
          </w:tcPr>
          <w:p w14:paraId="0EEBD546"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631,742,672.00 </w:t>
            </w:r>
          </w:p>
        </w:tc>
        <w:tc>
          <w:tcPr>
            <w:tcW w:w="469" w:type="pct"/>
            <w:tcBorders>
              <w:top w:val="nil"/>
              <w:left w:val="nil"/>
              <w:bottom w:val="single" w:sz="8" w:space="0" w:color="auto"/>
              <w:right w:val="nil"/>
            </w:tcBorders>
            <w:shd w:val="clear" w:color="auto" w:fill="auto"/>
            <w:vAlign w:val="center"/>
            <w:hideMark/>
          </w:tcPr>
          <w:p w14:paraId="0861A876" w14:textId="77777777" w:rsidR="00D21942" w:rsidRPr="00D21942" w:rsidRDefault="00D21942" w:rsidP="00D21942">
            <w:pPr>
              <w:spacing w:after="0" w:line="240" w:lineRule="auto"/>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 xml:space="preserve">        650,694,952.16 </w:t>
            </w:r>
          </w:p>
        </w:tc>
        <w:tc>
          <w:tcPr>
            <w:tcW w:w="327" w:type="pct"/>
            <w:tcBorders>
              <w:top w:val="nil"/>
              <w:left w:val="single" w:sz="8" w:space="0" w:color="auto"/>
              <w:bottom w:val="single" w:sz="8" w:space="0" w:color="auto"/>
              <w:right w:val="single" w:sz="8" w:space="0" w:color="auto"/>
            </w:tcBorders>
            <w:shd w:val="clear" w:color="auto" w:fill="auto"/>
            <w:vAlign w:val="center"/>
            <w:hideMark/>
          </w:tcPr>
          <w:p w14:paraId="25887C07"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5.54%</w:t>
            </w:r>
          </w:p>
        </w:tc>
        <w:tc>
          <w:tcPr>
            <w:tcW w:w="332" w:type="pct"/>
            <w:tcBorders>
              <w:top w:val="nil"/>
              <w:left w:val="nil"/>
              <w:bottom w:val="single" w:sz="8" w:space="0" w:color="auto"/>
              <w:right w:val="single" w:sz="8" w:space="0" w:color="auto"/>
            </w:tcBorders>
            <w:shd w:val="clear" w:color="auto" w:fill="auto"/>
            <w:vAlign w:val="center"/>
            <w:hideMark/>
          </w:tcPr>
          <w:p w14:paraId="000AE520"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5.70%</w:t>
            </w:r>
          </w:p>
        </w:tc>
        <w:tc>
          <w:tcPr>
            <w:tcW w:w="321" w:type="pct"/>
            <w:tcBorders>
              <w:top w:val="nil"/>
              <w:left w:val="nil"/>
              <w:bottom w:val="single" w:sz="8" w:space="0" w:color="auto"/>
              <w:right w:val="single" w:sz="8" w:space="0" w:color="auto"/>
            </w:tcBorders>
            <w:shd w:val="clear" w:color="auto" w:fill="auto"/>
            <w:vAlign w:val="center"/>
            <w:hideMark/>
          </w:tcPr>
          <w:p w14:paraId="3D04A22A"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5.69%</w:t>
            </w:r>
          </w:p>
        </w:tc>
        <w:tc>
          <w:tcPr>
            <w:tcW w:w="290" w:type="pct"/>
            <w:tcBorders>
              <w:top w:val="nil"/>
              <w:left w:val="nil"/>
              <w:bottom w:val="single" w:sz="8" w:space="0" w:color="auto"/>
              <w:right w:val="single" w:sz="8" w:space="0" w:color="auto"/>
            </w:tcBorders>
            <w:shd w:val="clear" w:color="auto" w:fill="auto"/>
            <w:vAlign w:val="center"/>
            <w:hideMark/>
          </w:tcPr>
          <w:p w14:paraId="75CDFF2C" w14:textId="77777777" w:rsidR="00D21942" w:rsidRPr="00D21942" w:rsidRDefault="00D21942" w:rsidP="00D21942">
            <w:pPr>
              <w:spacing w:after="0" w:line="240" w:lineRule="auto"/>
              <w:jc w:val="center"/>
              <w:rPr>
                <w:rFonts w:ascii="Times New Roman" w:eastAsia="Times New Roman" w:hAnsi="Times New Roman" w:cs="Times New Roman"/>
                <w:b/>
                <w:bCs/>
                <w:color w:val="000000"/>
                <w:sz w:val="18"/>
                <w:szCs w:val="18"/>
              </w:rPr>
            </w:pPr>
            <w:r w:rsidRPr="00D21942">
              <w:rPr>
                <w:rFonts w:ascii="Times New Roman" w:eastAsia="Times New Roman" w:hAnsi="Times New Roman" w:cs="Times New Roman"/>
                <w:b/>
                <w:bCs/>
                <w:color w:val="000000"/>
                <w:sz w:val="18"/>
                <w:szCs w:val="18"/>
              </w:rPr>
              <w:t>5.68%</w:t>
            </w:r>
          </w:p>
        </w:tc>
      </w:tr>
    </w:tbl>
    <w:p w14:paraId="4200278A" w14:textId="77777777" w:rsidR="00A95382" w:rsidRDefault="00A95382" w:rsidP="00BC4546">
      <w:pPr>
        <w:spacing w:before="9" w:after="172" w:line="276" w:lineRule="exact"/>
        <w:rPr>
          <w:rFonts w:ascii="Times New Roman" w:hAnsi="Times New Roman" w:cs="Times New Roman"/>
          <w:b/>
          <w:bCs/>
          <w:spacing w:val="1"/>
          <w:sz w:val="24"/>
          <w:szCs w:val="24"/>
        </w:rPr>
      </w:pPr>
    </w:p>
    <w:tbl>
      <w:tblPr>
        <w:tblW w:w="5000" w:type="pct"/>
        <w:tblLook w:val="04A0" w:firstRow="1" w:lastRow="0" w:firstColumn="1" w:lastColumn="0" w:noHBand="0" w:noVBand="1"/>
      </w:tblPr>
      <w:tblGrid>
        <w:gridCol w:w="2482"/>
        <w:gridCol w:w="1294"/>
        <w:gridCol w:w="1616"/>
        <w:gridCol w:w="1616"/>
        <w:gridCol w:w="1616"/>
        <w:gridCol w:w="1616"/>
        <w:gridCol w:w="1050"/>
        <w:gridCol w:w="905"/>
        <w:gridCol w:w="872"/>
        <w:gridCol w:w="872"/>
      </w:tblGrid>
      <w:tr w:rsidR="00050BAC" w:rsidRPr="00050BAC" w14:paraId="2C2938A1" w14:textId="77777777" w:rsidTr="00050BAC">
        <w:trPr>
          <w:trHeight w:val="330"/>
        </w:trPr>
        <w:tc>
          <w:tcPr>
            <w:tcW w:w="5000" w:type="pct"/>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52EEBF2E"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lastRenderedPageBreak/>
              <w:t>Table 2.5 Summary of Indicative Departmental Ceilings for FY 2020/21 MTEF</w:t>
            </w:r>
          </w:p>
        </w:tc>
      </w:tr>
      <w:tr w:rsidR="00050BAC" w:rsidRPr="00050BAC" w14:paraId="4E6070F3" w14:textId="77777777" w:rsidTr="00050BAC">
        <w:trPr>
          <w:trHeight w:val="330"/>
        </w:trPr>
        <w:tc>
          <w:tcPr>
            <w:tcW w:w="1207" w:type="pct"/>
            <w:vMerge w:val="restart"/>
            <w:tcBorders>
              <w:top w:val="nil"/>
              <w:left w:val="single" w:sz="8" w:space="0" w:color="auto"/>
              <w:bottom w:val="single" w:sz="4" w:space="0" w:color="auto"/>
              <w:right w:val="single" w:sz="8" w:space="0" w:color="auto"/>
            </w:tcBorders>
            <w:shd w:val="clear" w:color="auto" w:fill="auto"/>
            <w:vAlign w:val="center"/>
            <w:hideMark/>
          </w:tcPr>
          <w:p w14:paraId="446E4810"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Departments</w:t>
            </w:r>
          </w:p>
        </w:tc>
        <w:tc>
          <w:tcPr>
            <w:tcW w:w="406" w:type="pct"/>
            <w:tcBorders>
              <w:top w:val="nil"/>
              <w:left w:val="nil"/>
              <w:bottom w:val="single" w:sz="8" w:space="0" w:color="auto"/>
              <w:right w:val="single" w:sz="8" w:space="0" w:color="auto"/>
            </w:tcBorders>
            <w:shd w:val="clear" w:color="auto" w:fill="auto"/>
            <w:vAlign w:val="center"/>
            <w:hideMark/>
          </w:tcPr>
          <w:p w14:paraId="55CF63E7"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558" w:type="pct"/>
            <w:tcBorders>
              <w:top w:val="nil"/>
              <w:left w:val="nil"/>
              <w:bottom w:val="single" w:sz="8" w:space="0" w:color="auto"/>
              <w:right w:val="single" w:sz="8" w:space="0" w:color="auto"/>
            </w:tcBorders>
            <w:shd w:val="clear" w:color="auto" w:fill="auto"/>
            <w:vAlign w:val="center"/>
            <w:hideMark/>
          </w:tcPr>
          <w:p w14:paraId="103889CF"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Revised Estimates </w:t>
            </w:r>
          </w:p>
        </w:tc>
        <w:tc>
          <w:tcPr>
            <w:tcW w:w="569" w:type="pct"/>
            <w:tcBorders>
              <w:top w:val="nil"/>
              <w:left w:val="nil"/>
              <w:bottom w:val="single" w:sz="8" w:space="0" w:color="auto"/>
              <w:right w:val="single" w:sz="8" w:space="0" w:color="auto"/>
            </w:tcBorders>
            <w:shd w:val="clear" w:color="auto" w:fill="auto"/>
            <w:vAlign w:val="center"/>
            <w:hideMark/>
          </w:tcPr>
          <w:p w14:paraId="640B8B76"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Estimates </w:t>
            </w:r>
          </w:p>
        </w:tc>
        <w:tc>
          <w:tcPr>
            <w:tcW w:w="991" w:type="pct"/>
            <w:gridSpan w:val="2"/>
            <w:tcBorders>
              <w:top w:val="single" w:sz="8" w:space="0" w:color="auto"/>
              <w:left w:val="nil"/>
              <w:bottom w:val="single" w:sz="8" w:space="0" w:color="auto"/>
              <w:right w:val="single" w:sz="4" w:space="0" w:color="auto"/>
            </w:tcBorders>
            <w:shd w:val="clear" w:color="000000" w:fill="E2EFDA"/>
            <w:vAlign w:val="center"/>
            <w:hideMark/>
          </w:tcPr>
          <w:p w14:paraId="29F20FBA"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Projections </w:t>
            </w:r>
          </w:p>
        </w:tc>
        <w:tc>
          <w:tcPr>
            <w:tcW w:w="327" w:type="pct"/>
            <w:tcBorders>
              <w:top w:val="nil"/>
              <w:left w:val="single" w:sz="8" w:space="0" w:color="auto"/>
              <w:bottom w:val="single" w:sz="8" w:space="0" w:color="auto"/>
              <w:right w:val="single" w:sz="8" w:space="0" w:color="auto"/>
            </w:tcBorders>
            <w:shd w:val="clear" w:color="auto" w:fill="auto"/>
            <w:vAlign w:val="center"/>
            <w:hideMark/>
          </w:tcPr>
          <w:p w14:paraId="46520E96"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Estimates </w:t>
            </w:r>
          </w:p>
        </w:tc>
        <w:tc>
          <w:tcPr>
            <w:tcW w:w="332" w:type="pct"/>
            <w:tcBorders>
              <w:top w:val="nil"/>
              <w:left w:val="nil"/>
              <w:bottom w:val="single" w:sz="8" w:space="0" w:color="auto"/>
              <w:right w:val="single" w:sz="8" w:space="0" w:color="auto"/>
            </w:tcBorders>
            <w:shd w:val="clear" w:color="auto" w:fill="auto"/>
            <w:vAlign w:val="center"/>
            <w:hideMark/>
          </w:tcPr>
          <w:p w14:paraId="55067D49"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Ceilings</w:t>
            </w:r>
          </w:p>
        </w:tc>
        <w:tc>
          <w:tcPr>
            <w:tcW w:w="611" w:type="pct"/>
            <w:gridSpan w:val="2"/>
            <w:tcBorders>
              <w:top w:val="single" w:sz="8" w:space="0" w:color="auto"/>
              <w:left w:val="nil"/>
              <w:bottom w:val="single" w:sz="8" w:space="0" w:color="auto"/>
              <w:right w:val="single" w:sz="8" w:space="0" w:color="000000"/>
            </w:tcBorders>
            <w:shd w:val="clear" w:color="auto" w:fill="auto"/>
            <w:vAlign w:val="center"/>
            <w:hideMark/>
          </w:tcPr>
          <w:p w14:paraId="75014FD4"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Projections </w:t>
            </w:r>
          </w:p>
        </w:tc>
      </w:tr>
      <w:tr w:rsidR="00050BAC" w:rsidRPr="00050BAC" w14:paraId="2BD3AB9E" w14:textId="77777777" w:rsidTr="00050BAC">
        <w:trPr>
          <w:trHeight w:val="330"/>
        </w:trPr>
        <w:tc>
          <w:tcPr>
            <w:tcW w:w="1207" w:type="pct"/>
            <w:vMerge/>
            <w:tcBorders>
              <w:top w:val="nil"/>
              <w:left w:val="single" w:sz="8" w:space="0" w:color="auto"/>
              <w:bottom w:val="single" w:sz="4" w:space="0" w:color="auto"/>
              <w:right w:val="single" w:sz="8" w:space="0" w:color="auto"/>
            </w:tcBorders>
            <w:vAlign w:val="center"/>
            <w:hideMark/>
          </w:tcPr>
          <w:p w14:paraId="64D9FA8F"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p>
        </w:tc>
        <w:tc>
          <w:tcPr>
            <w:tcW w:w="406" w:type="pct"/>
            <w:tcBorders>
              <w:top w:val="nil"/>
              <w:left w:val="nil"/>
              <w:bottom w:val="single" w:sz="4" w:space="0" w:color="auto"/>
              <w:right w:val="single" w:sz="8" w:space="0" w:color="auto"/>
            </w:tcBorders>
            <w:shd w:val="clear" w:color="auto" w:fill="auto"/>
            <w:vAlign w:val="center"/>
            <w:hideMark/>
          </w:tcPr>
          <w:p w14:paraId="196E2973"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558" w:type="pct"/>
            <w:tcBorders>
              <w:top w:val="nil"/>
              <w:left w:val="nil"/>
              <w:bottom w:val="single" w:sz="8" w:space="0" w:color="auto"/>
              <w:right w:val="single" w:sz="8" w:space="0" w:color="auto"/>
            </w:tcBorders>
            <w:shd w:val="clear" w:color="auto" w:fill="auto"/>
            <w:vAlign w:val="center"/>
            <w:hideMark/>
          </w:tcPr>
          <w:p w14:paraId="3238F107"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2019/20 </w:t>
            </w:r>
          </w:p>
        </w:tc>
        <w:tc>
          <w:tcPr>
            <w:tcW w:w="569" w:type="pct"/>
            <w:tcBorders>
              <w:top w:val="nil"/>
              <w:left w:val="nil"/>
              <w:bottom w:val="single" w:sz="8" w:space="0" w:color="auto"/>
              <w:right w:val="single" w:sz="8" w:space="0" w:color="auto"/>
            </w:tcBorders>
            <w:shd w:val="clear" w:color="auto" w:fill="auto"/>
            <w:vAlign w:val="center"/>
            <w:hideMark/>
          </w:tcPr>
          <w:p w14:paraId="4D8361A0"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2020/21 </w:t>
            </w:r>
          </w:p>
        </w:tc>
        <w:tc>
          <w:tcPr>
            <w:tcW w:w="522" w:type="pct"/>
            <w:tcBorders>
              <w:top w:val="nil"/>
              <w:left w:val="nil"/>
              <w:bottom w:val="single" w:sz="8" w:space="0" w:color="auto"/>
              <w:right w:val="single" w:sz="8" w:space="0" w:color="auto"/>
            </w:tcBorders>
            <w:shd w:val="clear" w:color="auto" w:fill="auto"/>
            <w:vAlign w:val="center"/>
            <w:hideMark/>
          </w:tcPr>
          <w:p w14:paraId="444506EC"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2021/22 </w:t>
            </w:r>
          </w:p>
        </w:tc>
        <w:tc>
          <w:tcPr>
            <w:tcW w:w="469" w:type="pct"/>
            <w:tcBorders>
              <w:top w:val="nil"/>
              <w:left w:val="nil"/>
              <w:bottom w:val="single" w:sz="8" w:space="0" w:color="auto"/>
              <w:right w:val="nil"/>
            </w:tcBorders>
            <w:shd w:val="clear" w:color="auto" w:fill="auto"/>
            <w:vAlign w:val="center"/>
            <w:hideMark/>
          </w:tcPr>
          <w:p w14:paraId="272776BC"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2022/23 </w:t>
            </w:r>
          </w:p>
        </w:tc>
        <w:tc>
          <w:tcPr>
            <w:tcW w:w="327" w:type="pct"/>
            <w:tcBorders>
              <w:top w:val="nil"/>
              <w:left w:val="single" w:sz="8" w:space="0" w:color="auto"/>
              <w:bottom w:val="single" w:sz="8" w:space="0" w:color="auto"/>
              <w:right w:val="single" w:sz="8" w:space="0" w:color="auto"/>
            </w:tcBorders>
            <w:shd w:val="clear" w:color="auto" w:fill="auto"/>
            <w:vAlign w:val="center"/>
            <w:hideMark/>
          </w:tcPr>
          <w:p w14:paraId="3002CC76"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2019/20 </w:t>
            </w:r>
          </w:p>
        </w:tc>
        <w:tc>
          <w:tcPr>
            <w:tcW w:w="332" w:type="pct"/>
            <w:tcBorders>
              <w:top w:val="nil"/>
              <w:left w:val="nil"/>
              <w:bottom w:val="single" w:sz="8" w:space="0" w:color="auto"/>
              <w:right w:val="single" w:sz="8" w:space="0" w:color="auto"/>
            </w:tcBorders>
            <w:shd w:val="clear" w:color="auto" w:fill="auto"/>
            <w:vAlign w:val="center"/>
            <w:hideMark/>
          </w:tcPr>
          <w:p w14:paraId="766A8D40"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2020/21</w:t>
            </w:r>
          </w:p>
        </w:tc>
        <w:tc>
          <w:tcPr>
            <w:tcW w:w="321" w:type="pct"/>
            <w:tcBorders>
              <w:top w:val="nil"/>
              <w:left w:val="nil"/>
              <w:bottom w:val="single" w:sz="8" w:space="0" w:color="auto"/>
              <w:right w:val="single" w:sz="8" w:space="0" w:color="auto"/>
            </w:tcBorders>
            <w:shd w:val="clear" w:color="auto" w:fill="auto"/>
            <w:vAlign w:val="center"/>
            <w:hideMark/>
          </w:tcPr>
          <w:p w14:paraId="70B9CDE7"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2021/22 </w:t>
            </w:r>
          </w:p>
        </w:tc>
        <w:tc>
          <w:tcPr>
            <w:tcW w:w="290" w:type="pct"/>
            <w:tcBorders>
              <w:top w:val="nil"/>
              <w:left w:val="nil"/>
              <w:bottom w:val="single" w:sz="8" w:space="0" w:color="auto"/>
              <w:right w:val="single" w:sz="8" w:space="0" w:color="auto"/>
            </w:tcBorders>
            <w:shd w:val="clear" w:color="auto" w:fill="auto"/>
            <w:vAlign w:val="center"/>
            <w:hideMark/>
          </w:tcPr>
          <w:p w14:paraId="231D0849"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2022/23 </w:t>
            </w:r>
          </w:p>
        </w:tc>
      </w:tr>
      <w:tr w:rsidR="00050BAC" w:rsidRPr="00050BAC" w14:paraId="6E9D5DC2" w14:textId="77777777" w:rsidTr="00050BAC">
        <w:trPr>
          <w:trHeight w:val="630"/>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726B90BB"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Education Technology, Gender &amp; Social Development</w:t>
            </w:r>
          </w:p>
        </w:tc>
        <w:tc>
          <w:tcPr>
            <w:tcW w:w="406" w:type="pct"/>
            <w:tcBorders>
              <w:top w:val="nil"/>
              <w:left w:val="nil"/>
              <w:bottom w:val="single" w:sz="4" w:space="0" w:color="auto"/>
              <w:right w:val="single" w:sz="8" w:space="0" w:color="auto"/>
            </w:tcBorders>
            <w:shd w:val="clear" w:color="auto" w:fill="auto"/>
            <w:vAlign w:val="center"/>
            <w:hideMark/>
          </w:tcPr>
          <w:p w14:paraId="239C48F3"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Recurrent</w:t>
            </w:r>
          </w:p>
        </w:tc>
        <w:tc>
          <w:tcPr>
            <w:tcW w:w="558" w:type="pct"/>
            <w:tcBorders>
              <w:top w:val="nil"/>
              <w:left w:val="nil"/>
              <w:bottom w:val="single" w:sz="4" w:space="0" w:color="auto"/>
              <w:right w:val="single" w:sz="8" w:space="0" w:color="auto"/>
            </w:tcBorders>
            <w:shd w:val="clear" w:color="auto" w:fill="auto"/>
            <w:vAlign w:val="center"/>
            <w:hideMark/>
          </w:tcPr>
          <w:p w14:paraId="3DA76539"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848,770,000.00 </w:t>
            </w:r>
          </w:p>
        </w:tc>
        <w:tc>
          <w:tcPr>
            <w:tcW w:w="569" w:type="pct"/>
            <w:tcBorders>
              <w:top w:val="nil"/>
              <w:left w:val="nil"/>
              <w:bottom w:val="single" w:sz="4" w:space="0" w:color="auto"/>
              <w:right w:val="single" w:sz="8" w:space="0" w:color="auto"/>
            </w:tcBorders>
            <w:shd w:val="clear" w:color="auto" w:fill="auto"/>
            <w:vAlign w:val="center"/>
            <w:hideMark/>
          </w:tcPr>
          <w:p w14:paraId="59E31878"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882,628,175.63 </w:t>
            </w:r>
          </w:p>
        </w:tc>
        <w:tc>
          <w:tcPr>
            <w:tcW w:w="522" w:type="pct"/>
            <w:tcBorders>
              <w:top w:val="nil"/>
              <w:left w:val="nil"/>
              <w:bottom w:val="single" w:sz="4" w:space="0" w:color="auto"/>
              <w:right w:val="single" w:sz="8" w:space="0" w:color="auto"/>
            </w:tcBorders>
            <w:shd w:val="clear" w:color="auto" w:fill="auto"/>
            <w:vAlign w:val="center"/>
            <w:hideMark/>
          </w:tcPr>
          <w:p w14:paraId="782E887C"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909,107,020.90 </w:t>
            </w:r>
          </w:p>
        </w:tc>
        <w:tc>
          <w:tcPr>
            <w:tcW w:w="469" w:type="pct"/>
            <w:tcBorders>
              <w:top w:val="nil"/>
              <w:left w:val="nil"/>
              <w:bottom w:val="single" w:sz="4" w:space="0" w:color="auto"/>
              <w:right w:val="nil"/>
            </w:tcBorders>
            <w:shd w:val="clear" w:color="auto" w:fill="auto"/>
            <w:vAlign w:val="center"/>
            <w:hideMark/>
          </w:tcPr>
          <w:p w14:paraId="2C36F588"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936,380,231.53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53763F3E"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8.00%</w:t>
            </w:r>
          </w:p>
        </w:tc>
        <w:tc>
          <w:tcPr>
            <w:tcW w:w="332" w:type="pct"/>
            <w:tcBorders>
              <w:top w:val="nil"/>
              <w:left w:val="nil"/>
              <w:bottom w:val="single" w:sz="4" w:space="0" w:color="auto"/>
              <w:right w:val="single" w:sz="8" w:space="0" w:color="auto"/>
            </w:tcBorders>
            <w:shd w:val="clear" w:color="auto" w:fill="auto"/>
            <w:vAlign w:val="center"/>
            <w:hideMark/>
          </w:tcPr>
          <w:p w14:paraId="7A650962"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8.20%</w:t>
            </w:r>
          </w:p>
        </w:tc>
        <w:tc>
          <w:tcPr>
            <w:tcW w:w="321" w:type="pct"/>
            <w:tcBorders>
              <w:top w:val="nil"/>
              <w:left w:val="nil"/>
              <w:bottom w:val="single" w:sz="4" w:space="0" w:color="auto"/>
              <w:right w:val="single" w:sz="8" w:space="0" w:color="auto"/>
            </w:tcBorders>
            <w:shd w:val="clear" w:color="auto" w:fill="auto"/>
            <w:vAlign w:val="center"/>
            <w:hideMark/>
          </w:tcPr>
          <w:p w14:paraId="1125E8F8"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9.00%</w:t>
            </w:r>
          </w:p>
        </w:tc>
        <w:tc>
          <w:tcPr>
            <w:tcW w:w="290" w:type="pct"/>
            <w:tcBorders>
              <w:top w:val="nil"/>
              <w:left w:val="nil"/>
              <w:bottom w:val="single" w:sz="4" w:space="0" w:color="auto"/>
              <w:right w:val="single" w:sz="8" w:space="0" w:color="auto"/>
            </w:tcBorders>
            <w:shd w:val="clear" w:color="auto" w:fill="auto"/>
            <w:vAlign w:val="center"/>
            <w:hideMark/>
          </w:tcPr>
          <w:p w14:paraId="76672903"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9.00%</w:t>
            </w:r>
          </w:p>
        </w:tc>
      </w:tr>
      <w:tr w:rsidR="00050BAC" w:rsidRPr="00050BAC" w14:paraId="3971B3D4"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2622DD7B"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w:t>
            </w:r>
          </w:p>
        </w:tc>
        <w:tc>
          <w:tcPr>
            <w:tcW w:w="406" w:type="pct"/>
            <w:tcBorders>
              <w:top w:val="nil"/>
              <w:left w:val="nil"/>
              <w:bottom w:val="single" w:sz="4" w:space="0" w:color="auto"/>
              <w:right w:val="single" w:sz="8" w:space="0" w:color="auto"/>
            </w:tcBorders>
            <w:shd w:val="clear" w:color="auto" w:fill="auto"/>
            <w:vAlign w:val="center"/>
            <w:hideMark/>
          </w:tcPr>
          <w:p w14:paraId="229770DB"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Development</w:t>
            </w:r>
          </w:p>
        </w:tc>
        <w:tc>
          <w:tcPr>
            <w:tcW w:w="558" w:type="pct"/>
            <w:tcBorders>
              <w:top w:val="nil"/>
              <w:left w:val="nil"/>
              <w:bottom w:val="single" w:sz="4" w:space="0" w:color="auto"/>
              <w:right w:val="single" w:sz="8" w:space="0" w:color="auto"/>
            </w:tcBorders>
            <w:shd w:val="clear" w:color="auto" w:fill="auto"/>
            <w:vAlign w:val="center"/>
            <w:hideMark/>
          </w:tcPr>
          <w:p w14:paraId="26D14BBD"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165,618,298.00 </w:t>
            </w:r>
          </w:p>
        </w:tc>
        <w:tc>
          <w:tcPr>
            <w:tcW w:w="569" w:type="pct"/>
            <w:tcBorders>
              <w:top w:val="nil"/>
              <w:left w:val="nil"/>
              <w:bottom w:val="single" w:sz="4" w:space="0" w:color="auto"/>
              <w:right w:val="single" w:sz="8" w:space="0" w:color="auto"/>
            </w:tcBorders>
            <w:shd w:val="clear" w:color="auto" w:fill="auto"/>
            <w:vAlign w:val="center"/>
            <w:hideMark/>
          </w:tcPr>
          <w:p w14:paraId="465364C1"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164,010,000.00 </w:t>
            </w:r>
          </w:p>
        </w:tc>
        <w:tc>
          <w:tcPr>
            <w:tcW w:w="522" w:type="pct"/>
            <w:tcBorders>
              <w:top w:val="nil"/>
              <w:left w:val="nil"/>
              <w:bottom w:val="single" w:sz="4" w:space="0" w:color="auto"/>
              <w:right w:val="single" w:sz="8" w:space="0" w:color="auto"/>
            </w:tcBorders>
            <w:shd w:val="clear" w:color="auto" w:fill="auto"/>
            <w:vAlign w:val="center"/>
            <w:hideMark/>
          </w:tcPr>
          <w:p w14:paraId="084D2AD1"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168,930,300.00 </w:t>
            </w:r>
          </w:p>
        </w:tc>
        <w:tc>
          <w:tcPr>
            <w:tcW w:w="469" w:type="pct"/>
            <w:tcBorders>
              <w:top w:val="nil"/>
              <w:left w:val="nil"/>
              <w:bottom w:val="single" w:sz="4" w:space="0" w:color="auto"/>
              <w:right w:val="nil"/>
            </w:tcBorders>
            <w:shd w:val="clear" w:color="auto" w:fill="auto"/>
            <w:vAlign w:val="center"/>
            <w:hideMark/>
          </w:tcPr>
          <w:p w14:paraId="13703A38"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173,998,209.00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537622DA"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1.56%</w:t>
            </w:r>
          </w:p>
        </w:tc>
        <w:tc>
          <w:tcPr>
            <w:tcW w:w="332" w:type="pct"/>
            <w:tcBorders>
              <w:top w:val="nil"/>
              <w:left w:val="nil"/>
              <w:bottom w:val="single" w:sz="4" w:space="0" w:color="auto"/>
              <w:right w:val="single" w:sz="8" w:space="0" w:color="auto"/>
            </w:tcBorders>
            <w:shd w:val="clear" w:color="auto" w:fill="auto"/>
            <w:vAlign w:val="center"/>
            <w:hideMark/>
          </w:tcPr>
          <w:p w14:paraId="7623DAFC"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1.52%</w:t>
            </w:r>
          </w:p>
        </w:tc>
        <w:tc>
          <w:tcPr>
            <w:tcW w:w="321" w:type="pct"/>
            <w:tcBorders>
              <w:top w:val="nil"/>
              <w:left w:val="nil"/>
              <w:bottom w:val="single" w:sz="4" w:space="0" w:color="auto"/>
              <w:right w:val="single" w:sz="8" w:space="0" w:color="auto"/>
            </w:tcBorders>
            <w:shd w:val="clear" w:color="auto" w:fill="auto"/>
            <w:vAlign w:val="center"/>
            <w:hideMark/>
          </w:tcPr>
          <w:p w14:paraId="5894F4EC"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1.52%</w:t>
            </w:r>
          </w:p>
        </w:tc>
        <w:tc>
          <w:tcPr>
            <w:tcW w:w="290" w:type="pct"/>
            <w:tcBorders>
              <w:top w:val="nil"/>
              <w:left w:val="nil"/>
              <w:bottom w:val="single" w:sz="4" w:space="0" w:color="auto"/>
              <w:right w:val="single" w:sz="8" w:space="0" w:color="auto"/>
            </w:tcBorders>
            <w:shd w:val="clear" w:color="auto" w:fill="auto"/>
            <w:vAlign w:val="center"/>
            <w:hideMark/>
          </w:tcPr>
          <w:p w14:paraId="6584F9D8"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1.52%</w:t>
            </w:r>
          </w:p>
        </w:tc>
      </w:tr>
      <w:tr w:rsidR="00050BAC" w:rsidRPr="00050BAC" w14:paraId="1DBDE978"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5A0C961E"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406" w:type="pct"/>
            <w:tcBorders>
              <w:top w:val="nil"/>
              <w:left w:val="nil"/>
              <w:bottom w:val="single" w:sz="4" w:space="0" w:color="auto"/>
              <w:right w:val="single" w:sz="8" w:space="0" w:color="auto"/>
            </w:tcBorders>
            <w:shd w:val="clear" w:color="auto" w:fill="auto"/>
            <w:vAlign w:val="center"/>
            <w:hideMark/>
          </w:tcPr>
          <w:p w14:paraId="2FE7EF64"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Sub-Total</w:t>
            </w:r>
          </w:p>
        </w:tc>
        <w:tc>
          <w:tcPr>
            <w:tcW w:w="558" w:type="pct"/>
            <w:tcBorders>
              <w:top w:val="nil"/>
              <w:left w:val="nil"/>
              <w:bottom w:val="single" w:sz="4" w:space="0" w:color="auto"/>
              <w:right w:val="single" w:sz="8" w:space="0" w:color="auto"/>
            </w:tcBorders>
            <w:shd w:val="clear" w:color="auto" w:fill="auto"/>
            <w:vAlign w:val="center"/>
            <w:hideMark/>
          </w:tcPr>
          <w:p w14:paraId="6FD797C8"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1,014,388,298.00 </w:t>
            </w:r>
          </w:p>
        </w:tc>
        <w:tc>
          <w:tcPr>
            <w:tcW w:w="569" w:type="pct"/>
            <w:tcBorders>
              <w:top w:val="nil"/>
              <w:left w:val="nil"/>
              <w:bottom w:val="single" w:sz="4" w:space="0" w:color="auto"/>
              <w:right w:val="single" w:sz="8" w:space="0" w:color="auto"/>
            </w:tcBorders>
            <w:shd w:val="clear" w:color="auto" w:fill="auto"/>
            <w:vAlign w:val="center"/>
            <w:hideMark/>
          </w:tcPr>
          <w:p w14:paraId="3CE6C64C"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1,046,638,175.63 </w:t>
            </w:r>
          </w:p>
        </w:tc>
        <w:tc>
          <w:tcPr>
            <w:tcW w:w="522" w:type="pct"/>
            <w:tcBorders>
              <w:top w:val="nil"/>
              <w:left w:val="nil"/>
              <w:bottom w:val="single" w:sz="4" w:space="0" w:color="auto"/>
              <w:right w:val="single" w:sz="8" w:space="0" w:color="auto"/>
            </w:tcBorders>
            <w:shd w:val="clear" w:color="auto" w:fill="auto"/>
            <w:vAlign w:val="center"/>
            <w:hideMark/>
          </w:tcPr>
          <w:p w14:paraId="7C522800"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1,078,037,320.90 </w:t>
            </w:r>
          </w:p>
        </w:tc>
        <w:tc>
          <w:tcPr>
            <w:tcW w:w="469" w:type="pct"/>
            <w:tcBorders>
              <w:top w:val="nil"/>
              <w:left w:val="nil"/>
              <w:bottom w:val="single" w:sz="4" w:space="0" w:color="auto"/>
              <w:right w:val="nil"/>
            </w:tcBorders>
            <w:shd w:val="clear" w:color="auto" w:fill="auto"/>
            <w:vAlign w:val="center"/>
            <w:hideMark/>
          </w:tcPr>
          <w:p w14:paraId="76D57265"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1,110,378,440.53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75928A31"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9.56%</w:t>
            </w:r>
          </w:p>
        </w:tc>
        <w:tc>
          <w:tcPr>
            <w:tcW w:w="332" w:type="pct"/>
            <w:tcBorders>
              <w:top w:val="nil"/>
              <w:left w:val="nil"/>
              <w:bottom w:val="single" w:sz="4" w:space="0" w:color="auto"/>
              <w:right w:val="single" w:sz="8" w:space="0" w:color="auto"/>
            </w:tcBorders>
            <w:shd w:val="clear" w:color="auto" w:fill="auto"/>
            <w:vAlign w:val="center"/>
            <w:hideMark/>
          </w:tcPr>
          <w:p w14:paraId="11CC8399"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9.72%</w:t>
            </w:r>
          </w:p>
        </w:tc>
        <w:tc>
          <w:tcPr>
            <w:tcW w:w="321" w:type="pct"/>
            <w:tcBorders>
              <w:top w:val="nil"/>
              <w:left w:val="nil"/>
              <w:bottom w:val="single" w:sz="4" w:space="0" w:color="auto"/>
              <w:right w:val="single" w:sz="8" w:space="0" w:color="auto"/>
            </w:tcBorders>
            <w:shd w:val="clear" w:color="auto" w:fill="auto"/>
            <w:vAlign w:val="center"/>
            <w:hideMark/>
          </w:tcPr>
          <w:p w14:paraId="6DE1398E"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9.71%</w:t>
            </w:r>
          </w:p>
        </w:tc>
        <w:tc>
          <w:tcPr>
            <w:tcW w:w="290" w:type="pct"/>
            <w:tcBorders>
              <w:top w:val="nil"/>
              <w:left w:val="nil"/>
              <w:bottom w:val="single" w:sz="4" w:space="0" w:color="auto"/>
              <w:right w:val="single" w:sz="8" w:space="0" w:color="auto"/>
            </w:tcBorders>
            <w:shd w:val="clear" w:color="auto" w:fill="auto"/>
            <w:vAlign w:val="center"/>
            <w:hideMark/>
          </w:tcPr>
          <w:p w14:paraId="7469E688"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9.70%</w:t>
            </w:r>
          </w:p>
        </w:tc>
      </w:tr>
      <w:tr w:rsidR="00050BAC" w:rsidRPr="00050BAC" w14:paraId="307015E4"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19B25007"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Health Services</w:t>
            </w:r>
          </w:p>
        </w:tc>
        <w:tc>
          <w:tcPr>
            <w:tcW w:w="406" w:type="pct"/>
            <w:tcBorders>
              <w:top w:val="nil"/>
              <w:left w:val="nil"/>
              <w:bottom w:val="single" w:sz="4" w:space="0" w:color="auto"/>
              <w:right w:val="single" w:sz="8" w:space="0" w:color="auto"/>
            </w:tcBorders>
            <w:shd w:val="clear" w:color="auto" w:fill="auto"/>
            <w:vAlign w:val="center"/>
            <w:hideMark/>
          </w:tcPr>
          <w:p w14:paraId="68B4CF31"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Recurrent</w:t>
            </w:r>
          </w:p>
        </w:tc>
        <w:tc>
          <w:tcPr>
            <w:tcW w:w="558" w:type="pct"/>
            <w:tcBorders>
              <w:top w:val="nil"/>
              <w:left w:val="nil"/>
              <w:bottom w:val="single" w:sz="4" w:space="0" w:color="auto"/>
              <w:right w:val="single" w:sz="8" w:space="0" w:color="auto"/>
            </w:tcBorders>
            <w:shd w:val="clear" w:color="auto" w:fill="auto"/>
            <w:vAlign w:val="center"/>
            <w:hideMark/>
          </w:tcPr>
          <w:p w14:paraId="7B7D82E8"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3,015,420,332.00 </w:t>
            </w:r>
          </w:p>
        </w:tc>
        <w:tc>
          <w:tcPr>
            <w:tcW w:w="569" w:type="pct"/>
            <w:tcBorders>
              <w:top w:val="nil"/>
              <w:left w:val="nil"/>
              <w:bottom w:val="single" w:sz="4" w:space="0" w:color="auto"/>
              <w:right w:val="single" w:sz="8" w:space="0" w:color="auto"/>
            </w:tcBorders>
            <w:shd w:val="clear" w:color="auto" w:fill="auto"/>
            <w:vAlign w:val="center"/>
            <w:hideMark/>
          </w:tcPr>
          <w:p w14:paraId="19140501"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3,018,920,332.00 </w:t>
            </w:r>
          </w:p>
        </w:tc>
        <w:tc>
          <w:tcPr>
            <w:tcW w:w="522" w:type="pct"/>
            <w:tcBorders>
              <w:top w:val="nil"/>
              <w:left w:val="nil"/>
              <w:bottom w:val="single" w:sz="4" w:space="0" w:color="auto"/>
              <w:right w:val="single" w:sz="8" w:space="0" w:color="auto"/>
            </w:tcBorders>
            <w:shd w:val="clear" w:color="auto" w:fill="auto"/>
            <w:vAlign w:val="center"/>
            <w:hideMark/>
          </w:tcPr>
          <w:p w14:paraId="3010C178"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3,109,487,941.96 </w:t>
            </w:r>
          </w:p>
        </w:tc>
        <w:tc>
          <w:tcPr>
            <w:tcW w:w="469" w:type="pct"/>
            <w:tcBorders>
              <w:top w:val="nil"/>
              <w:left w:val="nil"/>
              <w:bottom w:val="single" w:sz="4" w:space="0" w:color="auto"/>
              <w:right w:val="nil"/>
            </w:tcBorders>
            <w:shd w:val="clear" w:color="auto" w:fill="auto"/>
            <w:vAlign w:val="center"/>
            <w:hideMark/>
          </w:tcPr>
          <w:p w14:paraId="0DDAE4B9"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3,202,772,580.22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218555AA"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28.43%</w:t>
            </w:r>
          </w:p>
        </w:tc>
        <w:tc>
          <w:tcPr>
            <w:tcW w:w="332" w:type="pct"/>
            <w:tcBorders>
              <w:top w:val="nil"/>
              <w:left w:val="nil"/>
              <w:bottom w:val="single" w:sz="4" w:space="0" w:color="auto"/>
              <w:right w:val="single" w:sz="8" w:space="0" w:color="auto"/>
            </w:tcBorders>
            <w:shd w:val="clear" w:color="auto" w:fill="auto"/>
            <w:vAlign w:val="center"/>
            <w:hideMark/>
          </w:tcPr>
          <w:p w14:paraId="1334270A"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28.04%</w:t>
            </w:r>
          </w:p>
        </w:tc>
        <w:tc>
          <w:tcPr>
            <w:tcW w:w="321" w:type="pct"/>
            <w:tcBorders>
              <w:top w:val="nil"/>
              <w:left w:val="nil"/>
              <w:bottom w:val="single" w:sz="4" w:space="0" w:color="auto"/>
              <w:right w:val="single" w:sz="8" w:space="0" w:color="auto"/>
            </w:tcBorders>
            <w:shd w:val="clear" w:color="auto" w:fill="auto"/>
            <w:vAlign w:val="center"/>
            <w:hideMark/>
          </w:tcPr>
          <w:p w14:paraId="52CA5AA9"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31.00%</w:t>
            </w:r>
          </w:p>
        </w:tc>
        <w:tc>
          <w:tcPr>
            <w:tcW w:w="290" w:type="pct"/>
            <w:tcBorders>
              <w:top w:val="nil"/>
              <w:left w:val="nil"/>
              <w:bottom w:val="single" w:sz="4" w:space="0" w:color="auto"/>
              <w:right w:val="single" w:sz="8" w:space="0" w:color="auto"/>
            </w:tcBorders>
            <w:shd w:val="clear" w:color="auto" w:fill="auto"/>
            <w:vAlign w:val="center"/>
            <w:hideMark/>
          </w:tcPr>
          <w:p w14:paraId="3804EFCB"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31.00%</w:t>
            </w:r>
          </w:p>
        </w:tc>
      </w:tr>
      <w:tr w:rsidR="00050BAC" w:rsidRPr="00050BAC" w14:paraId="1D1BB39C"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570488D2"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w:t>
            </w:r>
          </w:p>
        </w:tc>
        <w:tc>
          <w:tcPr>
            <w:tcW w:w="406" w:type="pct"/>
            <w:tcBorders>
              <w:top w:val="nil"/>
              <w:left w:val="nil"/>
              <w:bottom w:val="single" w:sz="4" w:space="0" w:color="auto"/>
              <w:right w:val="single" w:sz="8" w:space="0" w:color="auto"/>
            </w:tcBorders>
            <w:shd w:val="clear" w:color="auto" w:fill="auto"/>
            <w:vAlign w:val="center"/>
            <w:hideMark/>
          </w:tcPr>
          <w:p w14:paraId="6401B495"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Development</w:t>
            </w:r>
          </w:p>
        </w:tc>
        <w:tc>
          <w:tcPr>
            <w:tcW w:w="558" w:type="pct"/>
            <w:tcBorders>
              <w:top w:val="nil"/>
              <w:left w:val="nil"/>
              <w:bottom w:val="single" w:sz="4" w:space="0" w:color="auto"/>
              <w:right w:val="single" w:sz="8" w:space="0" w:color="auto"/>
            </w:tcBorders>
            <w:shd w:val="clear" w:color="auto" w:fill="auto"/>
            <w:vAlign w:val="center"/>
            <w:hideMark/>
          </w:tcPr>
          <w:p w14:paraId="30799F3B"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737,192,122.00 </w:t>
            </w:r>
          </w:p>
        </w:tc>
        <w:tc>
          <w:tcPr>
            <w:tcW w:w="569" w:type="pct"/>
            <w:tcBorders>
              <w:top w:val="nil"/>
              <w:left w:val="nil"/>
              <w:bottom w:val="single" w:sz="4" w:space="0" w:color="auto"/>
              <w:right w:val="single" w:sz="8" w:space="0" w:color="auto"/>
            </w:tcBorders>
            <w:shd w:val="clear" w:color="auto" w:fill="auto"/>
            <w:vAlign w:val="center"/>
            <w:hideMark/>
          </w:tcPr>
          <w:p w14:paraId="44DE71E0"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387,223,612.69 </w:t>
            </w:r>
          </w:p>
        </w:tc>
        <w:tc>
          <w:tcPr>
            <w:tcW w:w="522" w:type="pct"/>
            <w:tcBorders>
              <w:top w:val="nil"/>
              <w:left w:val="nil"/>
              <w:bottom w:val="single" w:sz="4" w:space="0" w:color="auto"/>
              <w:right w:val="single" w:sz="8" w:space="0" w:color="auto"/>
            </w:tcBorders>
            <w:shd w:val="clear" w:color="auto" w:fill="auto"/>
            <w:vAlign w:val="center"/>
            <w:hideMark/>
          </w:tcPr>
          <w:p w14:paraId="24C3773E"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398,840,321.07 </w:t>
            </w:r>
          </w:p>
        </w:tc>
        <w:tc>
          <w:tcPr>
            <w:tcW w:w="469" w:type="pct"/>
            <w:tcBorders>
              <w:top w:val="nil"/>
              <w:left w:val="nil"/>
              <w:bottom w:val="single" w:sz="4" w:space="0" w:color="auto"/>
              <w:right w:val="nil"/>
            </w:tcBorders>
            <w:shd w:val="clear" w:color="auto" w:fill="auto"/>
            <w:vAlign w:val="center"/>
            <w:hideMark/>
          </w:tcPr>
          <w:p w14:paraId="79C24955"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410,805,530.70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2D842A7B"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6.95%</w:t>
            </w:r>
          </w:p>
        </w:tc>
        <w:tc>
          <w:tcPr>
            <w:tcW w:w="332" w:type="pct"/>
            <w:tcBorders>
              <w:top w:val="nil"/>
              <w:left w:val="nil"/>
              <w:bottom w:val="single" w:sz="4" w:space="0" w:color="auto"/>
              <w:right w:val="single" w:sz="8" w:space="0" w:color="auto"/>
            </w:tcBorders>
            <w:shd w:val="clear" w:color="auto" w:fill="auto"/>
            <w:vAlign w:val="center"/>
            <w:hideMark/>
          </w:tcPr>
          <w:p w14:paraId="425E7A0A"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3.60%</w:t>
            </w:r>
          </w:p>
        </w:tc>
        <w:tc>
          <w:tcPr>
            <w:tcW w:w="321" w:type="pct"/>
            <w:tcBorders>
              <w:top w:val="nil"/>
              <w:left w:val="nil"/>
              <w:bottom w:val="single" w:sz="4" w:space="0" w:color="auto"/>
              <w:right w:val="single" w:sz="8" w:space="0" w:color="auto"/>
            </w:tcBorders>
            <w:shd w:val="clear" w:color="auto" w:fill="auto"/>
            <w:vAlign w:val="center"/>
            <w:hideMark/>
          </w:tcPr>
          <w:p w14:paraId="3D7CA4CE"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3.59%</w:t>
            </w:r>
          </w:p>
        </w:tc>
        <w:tc>
          <w:tcPr>
            <w:tcW w:w="290" w:type="pct"/>
            <w:tcBorders>
              <w:top w:val="nil"/>
              <w:left w:val="nil"/>
              <w:bottom w:val="single" w:sz="4" w:space="0" w:color="auto"/>
              <w:right w:val="single" w:sz="8" w:space="0" w:color="auto"/>
            </w:tcBorders>
            <w:shd w:val="clear" w:color="auto" w:fill="auto"/>
            <w:vAlign w:val="center"/>
            <w:hideMark/>
          </w:tcPr>
          <w:p w14:paraId="71CB3E23"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3.59%</w:t>
            </w:r>
          </w:p>
        </w:tc>
      </w:tr>
      <w:tr w:rsidR="00050BAC" w:rsidRPr="00050BAC" w14:paraId="4944EA07"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4AC63AEB"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406" w:type="pct"/>
            <w:tcBorders>
              <w:top w:val="nil"/>
              <w:left w:val="nil"/>
              <w:bottom w:val="single" w:sz="4" w:space="0" w:color="auto"/>
              <w:right w:val="single" w:sz="8" w:space="0" w:color="auto"/>
            </w:tcBorders>
            <w:shd w:val="clear" w:color="auto" w:fill="auto"/>
            <w:vAlign w:val="center"/>
            <w:hideMark/>
          </w:tcPr>
          <w:p w14:paraId="31CF1BA5"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Sub-Total</w:t>
            </w:r>
          </w:p>
        </w:tc>
        <w:tc>
          <w:tcPr>
            <w:tcW w:w="558" w:type="pct"/>
            <w:tcBorders>
              <w:top w:val="nil"/>
              <w:left w:val="nil"/>
              <w:bottom w:val="single" w:sz="4" w:space="0" w:color="auto"/>
              <w:right w:val="single" w:sz="8" w:space="0" w:color="auto"/>
            </w:tcBorders>
            <w:shd w:val="clear" w:color="auto" w:fill="auto"/>
            <w:vAlign w:val="center"/>
            <w:hideMark/>
          </w:tcPr>
          <w:p w14:paraId="71644D59"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3,752,612,454.00 </w:t>
            </w:r>
          </w:p>
        </w:tc>
        <w:tc>
          <w:tcPr>
            <w:tcW w:w="569" w:type="pct"/>
            <w:tcBorders>
              <w:top w:val="nil"/>
              <w:left w:val="nil"/>
              <w:bottom w:val="single" w:sz="4" w:space="0" w:color="auto"/>
              <w:right w:val="single" w:sz="8" w:space="0" w:color="auto"/>
            </w:tcBorders>
            <w:shd w:val="clear" w:color="auto" w:fill="auto"/>
            <w:vAlign w:val="center"/>
            <w:hideMark/>
          </w:tcPr>
          <w:p w14:paraId="2FF84951"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3,406,143,944.69 </w:t>
            </w:r>
          </w:p>
        </w:tc>
        <w:tc>
          <w:tcPr>
            <w:tcW w:w="522" w:type="pct"/>
            <w:tcBorders>
              <w:top w:val="nil"/>
              <w:left w:val="nil"/>
              <w:bottom w:val="single" w:sz="4" w:space="0" w:color="auto"/>
              <w:right w:val="single" w:sz="8" w:space="0" w:color="auto"/>
            </w:tcBorders>
            <w:shd w:val="clear" w:color="auto" w:fill="auto"/>
            <w:vAlign w:val="center"/>
            <w:hideMark/>
          </w:tcPr>
          <w:p w14:paraId="6321772C"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3,508,328,263.03 </w:t>
            </w:r>
          </w:p>
        </w:tc>
        <w:tc>
          <w:tcPr>
            <w:tcW w:w="469" w:type="pct"/>
            <w:tcBorders>
              <w:top w:val="nil"/>
              <w:left w:val="nil"/>
              <w:bottom w:val="single" w:sz="4" w:space="0" w:color="auto"/>
              <w:right w:val="nil"/>
            </w:tcBorders>
            <w:shd w:val="clear" w:color="auto" w:fill="auto"/>
            <w:vAlign w:val="center"/>
            <w:hideMark/>
          </w:tcPr>
          <w:p w14:paraId="15E5CF85"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3,613,578,110.92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2C56D073"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35.38%</w:t>
            </w:r>
          </w:p>
        </w:tc>
        <w:tc>
          <w:tcPr>
            <w:tcW w:w="332" w:type="pct"/>
            <w:tcBorders>
              <w:top w:val="nil"/>
              <w:left w:val="nil"/>
              <w:bottom w:val="single" w:sz="4" w:space="0" w:color="auto"/>
              <w:right w:val="single" w:sz="8" w:space="0" w:color="auto"/>
            </w:tcBorders>
            <w:shd w:val="clear" w:color="auto" w:fill="auto"/>
            <w:vAlign w:val="center"/>
            <w:hideMark/>
          </w:tcPr>
          <w:p w14:paraId="198788EC"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31.64%</w:t>
            </w:r>
          </w:p>
        </w:tc>
        <w:tc>
          <w:tcPr>
            <w:tcW w:w="321" w:type="pct"/>
            <w:tcBorders>
              <w:top w:val="nil"/>
              <w:left w:val="nil"/>
              <w:bottom w:val="single" w:sz="4" w:space="0" w:color="auto"/>
              <w:right w:val="single" w:sz="8" w:space="0" w:color="auto"/>
            </w:tcBorders>
            <w:shd w:val="clear" w:color="auto" w:fill="auto"/>
            <w:vAlign w:val="center"/>
            <w:hideMark/>
          </w:tcPr>
          <w:p w14:paraId="7F9C8199"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31.59%</w:t>
            </w:r>
          </w:p>
        </w:tc>
        <w:tc>
          <w:tcPr>
            <w:tcW w:w="290" w:type="pct"/>
            <w:tcBorders>
              <w:top w:val="nil"/>
              <w:left w:val="nil"/>
              <w:bottom w:val="single" w:sz="4" w:space="0" w:color="auto"/>
              <w:right w:val="single" w:sz="8" w:space="0" w:color="auto"/>
            </w:tcBorders>
            <w:shd w:val="clear" w:color="auto" w:fill="auto"/>
            <w:vAlign w:val="center"/>
            <w:hideMark/>
          </w:tcPr>
          <w:p w14:paraId="3224CFCE"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31.56%</w:t>
            </w:r>
          </w:p>
        </w:tc>
      </w:tr>
      <w:tr w:rsidR="00050BAC" w:rsidRPr="00050BAC" w14:paraId="19E0002C" w14:textId="77777777" w:rsidTr="00050BAC">
        <w:trPr>
          <w:trHeight w:val="630"/>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73D2E05D"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Land, Physical Planning, Urban Development &amp; Public Works</w:t>
            </w:r>
          </w:p>
        </w:tc>
        <w:tc>
          <w:tcPr>
            <w:tcW w:w="406" w:type="pct"/>
            <w:tcBorders>
              <w:top w:val="nil"/>
              <w:left w:val="nil"/>
              <w:bottom w:val="single" w:sz="4" w:space="0" w:color="auto"/>
              <w:right w:val="single" w:sz="8" w:space="0" w:color="auto"/>
            </w:tcBorders>
            <w:shd w:val="clear" w:color="auto" w:fill="auto"/>
            <w:vAlign w:val="center"/>
            <w:hideMark/>
          </w:tcPr>
          <w:p w14:paraId="7BF6371C"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Recurrent</w:t>
            </w:r>
          </w:p>
        </w:tc>
        <w:tc>
          <w:tcPr>
            <w:tcW w:w="558" w:type="pct"/>
            <w:tcBorders>
              <w:top w:val="nil"/>
              <w:left w:val="nil"/>
              <w:bottom w:val="single" w:sz="4" w:space="0" w:color="auto"/>
              <w:right w:val="single" w:sz="8" w:space="0" w:color="auto"/>
            </w:tcBorders>
            <w:shd w:val="clear" w:color="auto" w:fill="auto"/>
            <w:vAlign w:val="center"/>
            <w:hideMark/>
          </w:tcPr>
          <w:p w14:paraId="2FAD1998"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126,100,000.00 </w:t>
            </w:r>
          </w:p>
        </w:tc>
        <w:tc>
          <w:tcPr>
            <w:tcW w:w="569" w:type="pct"/>
            <w:tcBorders>
              <w:top w:val="nil"/>
              <w:left w:val="nil"/>
              <w:bottom w:val="single" w:sz="4" w:space="0" w:color="auto"/>
              <w:right w:val="single" w:sz="8" w:space="0" w:color="auto"/>
            </w:tcBorders>
            <w:shd w:val="clear" w:color="auto" w:fill="auto"/>
            <w:vAlign w:val="center"/>
            <w:hideMark/>
          </w:tcPr>
          <w:p w14:paraId="1EBBAFC4"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126,650,000.00 </w:t>
            </w:r>
          </w:p>
        </w:tc>
        <w:tc>
          <w:tcPr>
            <w:tcW w:w="522" w:type="pct"/>
            <w:tcBorders>
              <w:top w:val="nil"/>
              <w:left w:val="nil"/>
              <w:bottom w:val="single" w:sz="4" w:space="0" w:color="auto"/>
              <w:right w:val="single" w:sz="8" w:space="0" w:color="auto"/>
            </w:tcBorders>
            <w:shd w:val="clear" w:color="auto" w:fill="auto"/>
            <w:vAlign w:val="center"/>
            <w:hideMark/>
          </w:tcPr>
          <w:p w14:paraId="2152B9FD"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130,449,500.00 </w:t>
            </w:r>
          </w:p>
        </w:tc>
        <w:tc>
          <w:tcPr>
            <w:tcW w:w="469" w:type="pct"/>
            <w:tcBorders>
              <w:top w:val="nil"/>
              <w:left w:val="nil"/>
              <w:bottom w:val="single" w:sz="4" w:space="0" w:color="auto"/>
              <w:right w:val="nil"/>
            </w:tcBorders>
            <w:shd w:val="clear" w:color="auto" w:fill="auto"/>
            <w:vAlign w:val="center"/>
            <w:hideMark/>
          </w:tcPr>
          <w:p w14:paraId="7DB5D2D5"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134,362,985.00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436630DC"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1.19%</w:t>
            </w:r>
          </w:p>
        </w:tc>
        <w:tc>
          <w:tcPr>
            <w:tcW w:w="332" w:type="pct"/>
            <w:tcBorders>
              <w:top w:val="nil"/>
              <w:left w:val="nil"/>
              <w:bottom w:val="single" w:sz="4" w:space="0" w:color="auto"/>
              <w:right w:val="single" w:sz="8" w:space="0" w:color="auto"/>
            </w:tcBorders>
            <w:shd w:val="clear" w:color="auto" w:fill="auto"/>
            <w:vAlign w:val="center"/>
            <w:hideMark/>
          </w:tcPr>
          <w:p w14:paraId="426D4EF3"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1.18%</w:t>
            </w:r>
          </w:p>
        </w:tc>
        <w:tc>
          <w:tcPr>
            <w:tcW w:w="321" w:type="pct"/>
            <w:tcBorders>
              <w:top w:val="nil"/>
              <w:left w:val="nil"/>
              <w:bottom w:val="single" w:sz="4" w:space="0" w:color="auto"/>
              <w:right w:val="single" w:sz="8" w:space="0" w:color="auto"/>
            </w:tcBorders>
            <w:shd w:val="clear" w:color="auto" w:fill="auto"/>
            <w:vAlign w:val="center"/>
            <w:hideMark/>
          </w:tcPr>
          <w:p w14:paraId="767A90BF"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3.00%</w:t>
            </w:r>
          </w:p>
        </w:tc>
        <w:tc>
          <w:tcPr>
            <w:tcW w:w="290" w:type="pct"/>
            <w:tcBorders>
              <w:top w:val="nil"/>
              <w:left w:val="nil"/>
              <w:bottom w:val="single" w:sz="4" w:space="0" w:color="auto"/>
              <w:right w:val="single" w:sz="8" w:space="0" w:color="auto"/>
            </w:tcBorders>
            <w:shd w:val="clear" w:color="auto" w:fill="auto"/>
            <w:vAlign w:val="center"/>
            <w:hideMark/>
          </w:tcPr>
          <w:p w14:paraId="570FF2BC"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3.00%</w:t>
            </w:r>
          </w:p>
        </w:tc>
      </w:tr>
      <w:tr w:rsidR="00050BAC" w:rsidRPr="00050BAC" w14:paraId="0218DABA"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417364B6"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w:t>
            </w:r>
          </w:p>
        </w:tc>
        <w:tc>
          <w:tcPr>
            <w:tcW w:w="406" w:type="pct"/>
            <w:tcBorders>
              <w:top w:val="nil"/>
              <w:left w:val="nil"/>
              <w:bottom w:val="single" w:sz="4" w:space="0" w:color="auto"/>
              <w:right w:val="single" w:sz="8" w:space="0" w:color="auto"/>
            </w:tcBorders>
            <w:shd w:val="clear" w:color="auto" w:fill="auto"/>
            <w:vAlign w:val="center"/>
            <w:hideMark/>
          </w:tcPr>
          <w:p w14:paraId="02EB73F6"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Development</w:t>
            </w:r>
          </w:p>
        </w:tc>
        <w:tc>
          <w:tcPr>
            <w:tcW w:w="558" w:type="pct"/>
            <w:tcBorders>
              <w:top w:val="nil"/>
              <w:left w:val="nil"/>
              <w:bottom w:val="single" w:sz="4" w:space="0" w:color="auto"/>
              <w:right w:val="single" w:sz="8" w:space="0" w:color="auto"/>
            </w:tcBorders>
            <w:shd w:val="clear" w:color="auto" w:fill="auto"/>
            <w:vAlign w:val="center"/>
            <w:hideMark/>
          </w:tcPr>
          <w:p w14:paraId="1DCC4FAE"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281,790,200.00 </w:t>
            </w:r>
          </w:p>
        </w:tc>
        <w:tc>
          <w:tcPr>
            <w:tcW w:w="569" w:type="pct"/>
            <w:tcBorders>
              <w:top w:val="nil"/>
              <w:left w:val="nil"/>
              <w:bottom w:val="single" w:sz="4" w:space="0" w:color="auto"/>
              <w:right w:val="single" w:sz="8" w:space="0" w:color="auto"/>
            </w:tcBorders>
            <w:shd w:val="clear" w:color="auto" w:fill="auto"/>
            <w:vAlign w:val="center"/>
            <w:hideMark/>
          </w:tcPr>
          <w:p w14:paraId="4219793D"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258,636,873.46 </w:t>
            </w:r>
          </w:p>
        </w:tc>
        <w:tc>
          <w:tcPr>
            <w:tcW w:w="522" w:type="pct"/>
            <w:tcBorders>
              <w:top w:val="nil"/>
              <w:left w:val="nil"/>
              <w:bottom w:val="single" w:sz="4" w:space="0" w:color="auto"/>
              <w:right w:val="single" w:sz="8" w:space="0" w:color="auto"/>
            </w:tcBorders>
            <w:shd w:val="clear" w:color="auto" w:fill="auto"/>
            <w:vAlign w:val="center"/>
            <w:hideMark/>
          </w:tcPr>
          <w:p w14:paraId="664CFE63"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266,395,979.66 </w:t>
            </w:r>
          </w:p>
        </w:tc>
        <w:tc>
          <w:tcPr>
            <w:tcW w:w="469" w:type="pct"/>
            <w:tcBorders>
              <w:top w:val="nil"/>
              <w:left w:val="nil"/>
              <w:bottom w:val="single" w:sz="4" w:space="0" w:color="auto"/>
              <w:right w:val="nil"/>
            </w:tcBorders>
            <w:shd w:val="clear" w:color="auto" w:fill="auto"/>
            <w:vAlign w:val="center"/>
            <w:hideMark/>
          </w:tcPr>
          <w:p w14:paraId="32C80504"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274,387,859.05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3E753741"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2.66%</w:t>
            </w:r>
          </w:p>
        </w:tc>
        <w:tc>
          <w:tcPr>
            <w:tcW w:w="332" w:type="pct"/>
            <w:tcBorders>
              <w:top w:val="nil"/>
              <w:left w:val="nil"/>
              <w:bottom w:val="single" w:sz="4" w:space="0" w:color="auto"/>
              <w:right w:val="single" w:sz="8" w:space="0" w:color="auto"/>
            </w:tcBorders>
            <w:shd w:val="clear" w:color="auto" w:fill="auto"/>
            <w:vAlign w:val="center"/>
            <w:hideMark/>
          </w:tcPr>
          <w:p w14:paraId="31D5996C"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2.40%</w:t>
            </w:r>
          </w:p>
        </w:tc>
        <w:tc>
          <w:tcPr>
            <w:tcW w:w="321" w:type="pct"/>
            <w:tcBorders>
              <w:top w:val="nil"/>
              <w:left w:val="nil"/>
              <w:bottom w:val="single" w:sz="4" w:space="0" w:color="auto"/>
              <w:right w:val="single" w:sz="8" w:space="0" w:color="auto"/>
            </w:tcBorders>
            <w:shd w:val="clear" w:color="auto" w:fill="auto"/>
            <w:vAlign w:val="center"/>
            <w:hideMark/>
          </w:tcPr>
          <w:p w14:paraId="6A6B91C8"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2.40%</w:t>
            </w:r>
          </w:p>
        </w:tc>
        <w:tc>
          <w:tcPr>
            <w:tcW w:w="290" w:type="pct"/>
            <w:tcBorders>
              <w:top w:val="nil"/>
              <w:left w:val="nil"/>
              <w:bottom w:val="single" w:sz="4" w:space="0" w:color="auto"/>
              <w:right w:val="single" w:sz="8" w:space="0" w:color="auto"/>
            </w:tcBorders>
            <w:shd w:val="clear" w:color="auto" w:fill="auto"/>
            <w:vAlign w:val="center"/>
            <w:hideMark/>
          </w:tcPr>
          <w:p w14:paraId="3BC4A5C9"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2.40%</w:t>
            </w:r>
          </w:p>
        </w:tc>
      </w:tr>
      <w:tr w:rsidR="00050BAC" w:rsidRPr="00050BAC" w14:paraId="13C360E7"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0E8BC8B9"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406" w:type="pct"/>
            <w:tcBorders>
              <w:top w:val="nil"/>
              <w:left w:val="nil"/>
              <w:bottom w:val="single" w:sz="4" w:space="0" w:color="auto"/>
              <w:right w:val="single" w:sz="8" w:space="0" w:color="auto"/>
            </w:tcBorders>
            <w:shd w:val="clear" w:color="auto" w:fill="auto"/>
            <w:vAlign w:val="center"/>
            <w:hideMark/>
          </w:tcPr>
          <w:p w14:paraId="23A008B3"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Sub-Total</w:t>
            </w:r>
          </w:p>
        </w:tc>
        <w:tc>
          <w:tcPr>
            <w:tcW w:w="558" w:type="pct"/>
            <w:tcBorders>
              <w:top w:val="nil"/>
              <w:left w:val="nil"/>
              <w:bottom w:val="single" w:sz="4" w:space="0" w:color="auto"/>
              <w:right w:val="single" w:sz="8" w:space="0" w:color="auto"/>
            </w:tcBorders>
            <w:shd w:val="clear" w:color="auto" w:fill="auto"/>
            <w:vAlign w:val="center"/>
            <w:hideMark/>
          </w:tcPr>
          <w:p w14:paraId="4D7A7AF1"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407,890,200.00 </w:t>
            </w:r>
          </w:p>
        </w:tc>
        <w:tc>
          <w:tcPr>
            <w:tcW w:w="569" w:type="pct"/>
            <w:tcBorders>
              <w:top w:val="nil"/>
              <w:left w:val="nil"/>
              <w:bottom w:val="single" w:sz="4" w:space="0" w:color="auto"/>
              <w:right w:val="single" w:sz="8" w:space="0" w:color="auto"/>
            </w:tcBorders>
            <w:shd w:val="clear" w:color="auto" w:fill="auto"/>
            <w:vAlign w:val="center"/>
            <w:hideMark/>
          </w:tcPr>
          <w:p w14:paraId="6ECB4711"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385,286,873.46 </w:t>
            </w:r>
          </w:p>
        </w:tc>
        <w:tc>
          <w:tcPr>
            <w:tcW w:w="522" w:type="pct"/>
            <w:tcBorders>
              <w:top w:val="nil"/>
              <w:left w:val="nil"/>
              <w:bottom w:val="single" w:sz="4" w:space="0" w:color="auto"/>
              <w:right w:val="single" w:sz="8" w:space="0" w:color="auto"/>
            </w:tcBorders>
            <w:shd w:val="clear" w:color="auto" w:fill="auto"/>
            <w:vAlign w:val="center"/>
            <w:hideMark/>
          </w:tcPr>
          <w:p w14:paraId="07723703"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396,845,479.66 </w:t>
            </w:r>
          </w:p>
        </w:tc>
        <w:tc>
          <w:tcPr>
            <w:tcW w:w="469" w:type="pct"/>
            <w:tcBorders>
              <w:top w:val="nil"/>
              <w:left w:val="nil"/>
              <w:bottom w:val="single" w:sz="4" w:space="0" w:color="auto"/>
              <w:right w:val="nil"/>
            </w:tcBorders>
            <w:shd w:val="clear" w:color="auto" w:fill="auto"/>
            <w:vAlign w:val="center"/>
            <w:hideMark/>
          </w:tcPr>
          <w:p w14:paraId="43B52DDB"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408,750,844.05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18ACF424"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3.85%</w:t>
            </w:r>
          </w:p>
        </w:tc>
        <w:tc>
          <w:tcPr>
            <w:tcW w:w="332" w:type="pct"/>
            <w:tcBorders>
              <w:top w:val="nil"/>
              <w:left w:val="nil"/>
              <w:bottom w:val="single" w:sz="4" w:space="0" w:color="auto"/>
              <w:right w:val="single" w:sz="8" w:space="0" w:color="auto"/>
            </w:tcBorders>
            <w:shd w:val="clear" w:color="auto" w:fill="auto"/>
            <w:vAlign w:val="center"/>
            <w:hideMark/>
          </w:tcPr>
          <w:p w14:paraId="3E1ECACA"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3.58%</w:t>
            </w:r>
          </w:p>
        </w:tc>
        <w:tc>
          <w:tcPr>
            <w:tcW w:w="321" w:type="pct"/>
            <w:tcBorders>
              <w:top w:val="nil"/>
              <w:left w:val="nil"/>
              <w:bottom w:val="single" w:sz="4" w:space="0" w:color="auto"/>
              <w:right w:val="single" w:sz="8" w:space="0" w:color="auto"/>
            </w:tcBorders>
            <w:shd w:val="clear" w:color="auto" w:fill="auto"/>
            <w:vAlign w:val="center"/>
            <w:hideMark/>
          </w:tcPr>
          <w:p w14:paraId="3E568CB0"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3.57%</w:t>
            </w:r>
          </w:p>
        </w:tc>
        <w:tc>
          <w:tcPr>
            <w:tcW w:w="290" w:type="pct"/>
            <w:tcBorders>
              <w:top w:val="nil"/>
              <w:left w:val="nil"/>
              <w:bottom w:val="single" w:sz="4" w:space="0" w:color="auto"/>
              <w:right w:val="single" w:sz="8" w:space="0" w:color="auto"/>
            </w:tcBorders>
            <w:shd w:val="clear" w:color="auto" w:fill="auto"/>
            <w:vAlign w:val="center"/>
            <w:hideMark/>
          </w:tcPr>
          <w:p w14:paraId="19600598"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3.57%</w:t>
            </w:r>
          </w:p>
        </w:tc>
      </w:tr>
      <w:tr w:rsidR="00050BAC" w:rsidRPr="00050BAC" w14:paraId="19BC7B4D" w14:textId="77777777" w:rsidTr="00050BAC">
        <w:trPr>
          <w:trHeight w:val="630"/>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496938BD"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Legal Affairs, Public Service Management and Administration</w:t>
            </w:r>
          </w:p>
        </w:tc>
        <w:tc>
          <w:tcPr>
            <w:tcW w:w="406" w:type="pct"/>
            <w:tcBorders>
              <w:top w:val="nil"/>
              <w:left w:val="nil"/>
              <w:bottom w:val="single" w:sz="4" w:space="0" w:color="auto"/>
              <w:right w:val="single" w:sz="8" w:space="0" w:color="auto"/>
            </w:tcBorders>
            <w:shd w:val="clear" w:color="auto" w:fill="auto"/>
            <w:vAlign w:val="center"/>
            <w:hideMark/>
          </w:tcPr>
          <w:p w14:paraId="64B274B0"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Recurrent</w:t>
            </w:r>
          </w:p>
        </w:tc>
        <w:tc>
          <w:tcPr>
            <w:tcW w:w="558" w:type="pct"/>
            <w:tcBorders>
              <w:top w:val="nil"/>
              <w:left w:val="nil"/>
              <w:bottom w:val="single" w:sz="4" w:space="0" w:color="auto"/>
              <w:right w:val="single" w:sz="8" w:space="0" w:color="auto"/>
            </w:tcBorders>
            <w:shd w:val="clear" w:color="auto" w:fill="auto"/>
            <w:vAlign w:val="center"/>
            <w:hideMark/>
          </w:tcPr>
          <w:p w14:paraId="2D336F76"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581,554,277.00 </w:t>
            </w:r>
          </w:p>
        </w:tc>
        <w:tc>
          <w:tcPr>
            <w:tcW w:w="569" w:type="pct"/>
            <w:tcBorders>
              <w:top w:val="nil"/>
              <w:left w:val="nil"/>
              <w:bottom w:val="single" w:sz="4" w:space="0" w:color="auto"/>
              <w:right w:val="single" w:sz="8" w:space="0" w:color="auto"/>
            </w:tcBorders>
            <w:shd w:val="clear" w:color="auto" w:fill="auto"/>
            <w:vAlign w:val="center"/>
            <w:hideMark/>
          </w:tcPr>
          <w:p w14:paraId="2947CE72"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582,754,277.00 </w:t>
            </w:r>
          </w:p>
        </w:tc>
        <w:tc>
          <w:tcPr>
            <w:tcW w:w="522" w:type="pct"/>
            <w:tcBorders>
              <w:top w:val="nil"/>
              <w:left w:val="nil"/>
              <w:bottom w:val="single" w:sz="4" w:space="0" w:color="auto"/>
              <w:right w:val="single" w:sz="8" w:space="0" w:color="auto"/>
            </w:tcBorders>
            <w:shd w:val="clear" w:color="auto" w:fill="auto"/>
            <w:vAlign w:val="center"/>
            <w:hideMark/>
          </w:tcPr>
          <w:p w14:paraId="42C7B751"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600,236,905.31 </w:t>
            </w:r>
          </w:p>
        </w:tc>
        <w:tc>
          <w:tcPr>
            <w:tcW w:w="469" w:type="pct"/>
            <w:tcBorders>
              <w:top w:val="nil"/>
              <w:left w:val="nil"/>
              <w:bottom w:val="single" w:sz="4" w:space="0" w:color="auto"/>
              <w:right w:val="nil"/>
            </w:tcBorders>
            <w:shd w:val="clear" w:color="auto" w:fill="auto"/>
            <w:vAlign w:val="center"/>
            <w:hideMark/>
          </w:tcPr>
          <w:p w14:paraId="02D07858"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618,244,012.47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12A57A40"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5.48%</w:t>
            </w:r>
          </w:p>
        </w:tc>
        <w:tc>
          <w:tcPr>
            <w:tcW w:w="332" w:type="pct"/>
            <w:tcBorders>
              <w:top w:val="nil"/>
              <w:left w:val="nil"/>
              <w:bottom w:val="single" w:sz="4" w:space="0" w:color="auto"/>
              <w:right w:val="single" w:sz="8" w:space="0" w:color="auto"/>
            </w:tcBorders>
            <w:shd w:val="clear" w:color="auto" w:fill="auto"/>
            <w:vAlign w:val="center"/>
            <w:hideMark/>
          </w:tcPr>
          <w:p w14:paraId="714F9828"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5.41%</w:t>
            </w:r>
          </w:p>
        </w:tc>
        <w:tc>
          <w:tcPr>
            <w:tcW w:w="321" w:type="pct"/>
            <w:tcBorders>
              <w:top w:val="nil"/>
              <w:left w:val="nil"/>
              <w:bottom w:val="single" w:sz="4" w:space="0" w:color="auto"/>
              <w:right w:val="single" w:sz="8" w:space="0" w:color="auto"/>
            </w:tcBorders>
            <w:shd w:val="clear" w:color="auto" w:fill="auto"/>
            <w:vAlign w:val="center"/>
            <w:hideMark/>
          </w:tcPr>
          <w:p w14:paraId="158D1C23"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7.00%</w:t>
            </w:r>
          </w:p>
        </w:tc>
        <w:tc>
          <w:tcPr>
            <w:tcW w:w="290" w:type="pct"/>
            <w:tcBorders>
              <w:top w:val="nil"/>
              <w:left w:val="nil"/>
              <w:bottom w:val="single" w:sz="4" w:space="0" w:color="auto"/>
              <w:right w:val="single" w:sz="8" w:space="0" w:color="auto"/>
            </w:tcBorders>
            <w:shd w:val="clear" w:color="auto" w:fill="auto"/>
            <w:vAlign w:val="center"/>
            <w:hideMark/>
          </w:tcPr>
          <w:p w14:paraId="617D29E1"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7.00%</w:t>
            </w:r>
          </w:p>
        </w:tc>
      </w:tr>
      <w:tr w:rsidR="00050BAC" w:rsidRPr="00050BAC" w14:paraId="328A75BB"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6ED2F54A"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w:t>
            </w:r>
          </w:p>
        </w:tc>
        <w:tc>
          <w:tcPr>
            <w:tcW w:w="406" w:type="pct"/>
            <w:tcBorders>
              <w:top w:val="nil"/>
              <w:left w:val="nil"/>
              <w:bottom w:val="single" w:sz="4" w:space="0" w:color="auto"/>
              <w:right w:val="single" w:sz="8" w:space="0" w:color="auto"/>
            </w:tcBorders>
            <w:shd w:val="clear" w:color="auto" w:fill="auto"/>
            <w:vAlign w:val="center"/>
            <w:hideMark/>
          </w:tcPr>
          <w:p w14:paraId="2E18FA31"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Development</w:t>
            </w:r>
          </w:p>
        </w:tc>
        <w:tc>
          <w:tcPr>
            <w:tcW w:w="558" w:type="pct"/>
            <w:tcBorders>
              <w:top w:val="nil"/>
              <w:left w:val="nil"/>
              <w:bottom w:val="single" w:sz="4" w:space="0" w:color="auto"/>
              <w:right w:val="single" w:sz="8" w:space="0" w:color="auto"/>
            </w:tcBorders>
            <w:shd w:val="clear" w:color="auto" w:fill="auto"/>
            <w:vAlign w:val="center"/>
            <w:hideMark/>
          </w:tcPr>
          <w:p w14:paraId="0F42E945"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232,216,740.00 </w:t>
            </w:r>
          </w:p>
        </w:tc>
        <w:tc>
          <w:tcPr>
            <w:tcW w:w="569" w:type="pct"/>
            <w:tcBorders>
              <w:top w:val="nil"/>
              <w:left w:val="nil"/>
              <w:bottom w:val="single" w:sz="4" w:space="0" w:color="auto"/>
              <w:right w:val="single" w:sz="8" w:space="0" w:color="auto"/>
            </w:tcBorders>
            <w:shd w:val="clear" w:color="auto" w:fill="auto"/>
            <w:vAlign w:val="center"/>
            <w:hideMark/>
          </w:tcPr>
          <w:p w14:paraId="14FBA9C7"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232,220,000.00 </w:t>
            </w:r>
          </w:p>
        </w:tc>
        <w:tc>
          <w:tcPr>
            <w:tcW w:w="522" w:type="pct"/>
            <w:tcBorders>
              <w:top w:val="nil"/>
              <w:left w:val="nil"/>
              <w:bottom w:val="single" w:sz="4" w:space="0" w:color="auto"/>
              <w:right w:val="single" w:sz="8" w:space="0" w:color="auto"/>
            </w:tcBorders>
            <w:shd w:val="clear" w:color="auto" w:fill="auto"/>
            <w:vAlign w:val="center"/>
            <w:hideMark/>
          </w:tcPr>
          <w:p w14:paraId="15ACE321"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239,186,600.00 </w:t>
            </w:r>
          </w:p>
        </w:tc>
        <w:tc>
          <w:tcPr>
            <w:tcW w:w="469" w:type="pct"/>
            <w:tcBorders>
              <w:top w:val="nil"/>
              <w:left w:val="nil"/>
              <w:bottom w:val="single" w:sz="4" w:space="0" w:color="auto"/>
              <w:right w:val="nil"/>
            </w:tcBorders>
            <w:shd w:val="clear" w:color="auto" w:fill="auto"/>
            <w:vAlign w:val="center"/>
            <w:hideMark/>
          </w:tcPr>
          <w:p w14:paraId="2492266E"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246,362,198.00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15D921B4"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2.19%</w:t>
            </w:r>
          </w:p>
        </w:tc>
        <w:tc>
          <w:tcPr>
            <w:tcW w:w="332" w:type="pct"/>
            <w:tcBorders>
              <w:top w:val="nil"/>
              <w:left w:val="nil"/>
              <w:bottom w:val="single" w:sz="4" w:space="0" w:color="auto"/>
              <w:right w:val="single" w:sz="8" w:space="0" w:color="auto"/>
            </w:tcBorders>
            <w:shd w:val="clear" w:color="auto" w:fill="auto"/>
            <w:vAlign w:val="center"/>
            <w:hideMark/>
          </w:tcPr>
          <w:p w14:paraId="45EEC4C4"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2.16%</w:t>
            </w:r>
          </w:p>
        </w:tc>
        <w:tc>
          <w:tcPr>
            <w:tcW w:w="321" w:type="pct"/>
            <w:tcBorders>
              <w:top w:val="nil"/>
              <w:left w:val="nil"/>
              <w:bottom w:val="single" w:sz="4" w:space="0" w:color="auto"/>
              <w:right w:val="single" w:sz="8" w:space="0" w:color="auto"/>
            </w:tcBorders>
            <w:shd w:val="clear" w:color="auto" w:fill="auto"/>
            <w:vAlign w:val="center"/>
            <w:hideMark/>
          </w:tcPr>
          <w:p w14:paraId="73FF6CE4"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2.15%</w:t>
            </w:r>
          </w:p>
        </w:tc>
        <w:tc>
          <w:tcPr>
            <w:tcW w:w="290" w:type="pct"/>
            <w:tcBorders>
              <w:top w:val="nil"/>
              <w:left w:val="nil"/>
              <w:bottom w:val="single" w:sz="4" w:space="0" w:color="auto"/>
              <w:right w:val="single" w:sz="8" w:space="0" w:color="auto"/>
            </w:tcBorders>
            <w:shd w:val="clear" w:color="auto" w:fill="auto"/>
            <w:vAlign w:val="center"/>
            <w:hideMark/>
          </w:tcPr>
          <w:p w14:paraId="290150EE"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2.15%</w:t>
            </w:r>
          </w:p>
        </w:tc>
      </w:tr>
      <w:tr w:rsidR="00050BAC" w:rsidRPr="00050BAC" w14:paraId="37A99009"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04D3546A"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406" w:type="pct"/>
            <w:tcBorders>
              <w:top w:val="nil"/>
              <w:left w:val="nil"/>
              <w:bottom w:val="single" w:sz="4" w:space="0" w:color="auto"/>
              <w:right w:val="single" w:sz="8" w:space="0" w:color="auto"/>
            </w:tcBorders>
            <w:shd w:val="clear" w:color="auto" w:fill="auto"/>
            <w:vAlign w:val="center"/>
            <w:hideMark/>
          </w:tcPr>
          <w:p w14:paraId="3A5A12F1"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Sub-Total</w:t>
            </w:r>
          </w:p>
        </w:tc>
        <w:tc>
          <w:tcPr>
            <w:tcW w:w="558" w:type="pct"/>
            <w:tcBorders>
              <w:top w:val="nil"/>
              <w:left w:val="nil"/>
              <w:bottom w:val="single" w:sz="4" w:space="0" w:color="auto"/>
              <w:right w:val="single" w:sz="8" w:space="0" w:color="auto"/>
            </w:tcBorders>
            <w:shd w:val="clear" w:color="auto" w:fill="auto"/>
            <w:vAlign w:val="center"/>
            <w:hideMark/>
          </w:tcPr>
          <w:p w14:paraId="2C957660"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813,771,017.00 </w:t>
            </w:r>
          </w:p>
        </w:tc>
        <w:tc>
          <w:tcPr>
            <w:tcW w:w="569" w:type="pct"/>
            <w:tcBorders>
              <w:top w:val="nil"/>
              <w:left w:val="nil"/>
              <w:bottom w:val="single" w:sz="4" w:space="0" w:color="auto"/>
              <w:right w:val="single" w:sz="8" w:space="0" w:color="auto"/>
            </w:tcBorders>
            <w:shd w:val="clear" w:color="auto" w:fill="auto"/>
            <w:vAlign w:val="center"/>
            <w:hideMark/>
          </w:tcPr>
          <w:p w14:paraId="7CEB1E02"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814,974,277.00 </w:t>
            </w:r>
          </w:p>
        </w:tc>
        <w:tc>
          <w:tcPr>
            <w:tcW w:w="522" w:type="pct"/>
            <w:tcBorders>
              <w:top w:val="nil"/>
              <w:left w:val="nil"/>
              <w:bottom w:val="single" w:sz="4" w:space="0" w:color="auto"/>
              <w:right w:val="single" w:sz="8" w:space="0" w:color="auto"/>
            </w:tcBorders>
            <w:shd w:val="clear" w:color="auto" w:fill="auto"/>
            <w:vAlign w:val="center"/>
            <w:hideMark/>
          </w:tcPr>
          <w:p w14:paraId="62EB2A76"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839,423,505.31 </w:t>
            </w:r>
          </w:p>
        </w:tc>
        <w:tc>
          <w:tcPr>
            <w:tcW w:w="469" w:type="pct"/>
            <w:tcBorders>
              <w:top w:val="nil"/>
              <w:left w:val="nil"/>
              <w:bottom w:val="single" w:sz="4" w:space="0" w:color="auto"/>
              <w:right w:val="nil"/>
            </w:tcBorders>
            <w:shd w:val="clear" w:color="auto" w:fill="auto"/>
            <w:vAlign w:val="center"/>
            <w:hideMark/>
          </w:tcPr>
          <w:p w14:paraId="72C8D4BE"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864,606,210.47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1D968219"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7.67%</w:t>
            </w:r>
          </w:p>
        </w:tc>
        <w:tc>
          <w:tcPr>
            <w:tcW w:w="332" w:type="pct"/>
            <w:tcBorders>
              <w:top w:val="nil"/>
              <w:left w:val="nil"/>
              <w:bottom w:val="single" w:sz="4" w:space="0" w:color="auto"/>
              <w:right w:val="single" w:sz="8" w:space="0" w:color="auto"/>
            </w:tcBorders>
            <w:shd w:val="clear" w:color="auto" w:fill="auto"/>
            <w:vAlign w:val="center"/>
            <w:hideMark/>
          </w:tcPr>
          <w:p w14:paraId="3209C356"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7.57%</w:t>
            </w:r>
          </w:p>
        </w:tc>
        <w:tc>
          <w:tcPr>
            <w:tcW w:w="321" w:type="pct"/>
            <w:tcBorders>
              <w:top w:val="nil"/>
              <w:left w:val="nil"/>
              <w:bottom w:val="single" w:sz="4" w:space="0" w:color="auto"/>
              <w:right w:val="single" w:sz="8" w:space="0" w:color="auto"/>
            </w:tcBorders>
            <w:shd w:val="clear" w:color="auto" w:fill="auto"/>
            <w:vAlign w:val="center"/>
            <w:hideMark/>
          </w:tcPr>
          <w:p w14:paraId="3B97944E"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7.56%</w:t>
            </w:r>
          </w:p>
        </w:tc>
        <w:tc>
          <w:tcPr>
            <w:tcW w:w="290" w:type="pct"/>
            <w:tcBorders>
              <w:top w:val="nil"/>
              <w:left w:val="nil"/>
              <w:bottom w:val="single" w:sz="4" w:space="0" w:color="auto"/>
              <w:right w:val="single" w:sz="8" w:space="0" w:color="auto"/>
            </w:tcBorders>
            <w:shd w:val="clear" w:color="auto" w:fill="auto"/>
            <w:vAlign w:val="center"/>
            <w:hideMark/>
          </w:tcPr>
          <w:p w14:paraId="41215AEA"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7.55%</w:t>
            </w:r>
          </w:p>
        </w:tc>
      </w:tr>
      <w:tr w:rsidR="00050BAC" w:rsidRPr="00050BAC" w14:paraId="04B6F877"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7F07789D"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Roads, Transport &amp; Energy</w:t>
            </w:r>
          </w:p>
        </w:tc>
        <w:tc>
          <w:tcPr>
            <w:tcW w:w="406" w:type="pct"/>
            <w:tcBorders>
              <w:top w:val="nil"/>
              <w:left w:val="nil"/>
              <w:bottom w:val="single" w:sz="4" w:space="0" w:color="auto"/>
              <w:right w:val="single" w:sz="8" w:space="0" w:color="auto"/>
            </w:tcBorders>
            <w:shd w:val="clear" w:color="auto" w:fill="auto"/>
            <w:vAlign w:val="center"/>
            <w:hideMark/>
          </w:tcPr>
          <w:p w14:paraId="5CAB2CF3"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Recurrent</w:t>
            </w:r>
          </w:p>
        </w:tc>
        <w:tc>
          <w:tcPr>
            <w:tcW w:w="558" w:type="pct"/>
            <w:tcBorders>
              <w:top w:val="nil"/>
              <w:left w:val="nil"/>
              <w:bottom w:val="single" w:sz="4" w:space="0" w:color="auto"/>
              <w:right w:val="single" w:sz="8" w:space="0" w:color="auto"/>
            </w:tcBorders>
            <w:shd w:val="clear" w:color="auto" w:fill="auto"/>
            <w:vAlign w:val="center"/>
            <w:hideMark/>
          </w:tcPr>
          <w:p w14:paraId="2DE8412B"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91,280,000.00 </w:t>
            </w:r>
          </w:p>
        </w:tc>
        <w:tc>
          <w:tcPr>
            <w:tcW w:w="569" w:type="pct"/>
            <w:tcBorders>
              <w:top w:val="nil"/>
              <w:left w:val="nil"/>
              <w:bottom w:val="single" w:sz="4" w:space="0" w:color="auto"/>
              <w:right w:val="single" w:sz="8" w:space="0" w:color="auto"/>
            </w:tcBorders>
            <w:shd w:val="clear" w:color="auto" w:fill="auto"/>
            <w:vAlign w:val="center"/>
            <w:hideMark/>
          </w:tcPr>
          <w:p w14:paraId="4218CEC3"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91,371,280.00 </w:t>
            </w:r>
          </w:p>
        </w:tc>
        <w:tc>
          <w:tcPr>
            <w:tcW w:w="522" w:type="pct"/>
            <w:tcBorders>
              <w:top w:val="nil"/>
              <w:left w:val="nil"/>
              <w:bottom w:val="single" w:sz="4" w:space="0" w:color="auto"/>
              <w:right w:val="single" w:sz="8" w:space="0" w:color="auto"/>
            </w:tcBorders>
            <w:shd w:val="clear" w:color="auto" w:fill="auto"/>
            <w:vAlign w:val="center"/>
            <w:hideMark/>
          </w:tcPr>
          <w:p w14:paraId="4CC0D4E6"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94,112,418.40 </w:t>
            </w:r>
          </w:p>
        </w:tc>
        <w:tc>
          <w:tcPr>
            <w:tcW w:w="469" w:type="pct"/>
            <w:tcBorders>
              <w:top w:val="nil"/>
              <w:left w:val="nil"/>
              <w:bottom w:val="single" w:sz="4" w:space="0" w:color="auto"/>
              <w:right w:val="nil"/>
            </w:tcBorders>
            <w:shd w:val="clear" w:color="auto" w:fill="auto"/>
            <w:vAlign w:val="center"/>
            <w:hideMark/>
          </w:tcPr>
          <w:p w14:paraId="1CB44F07"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96,935,790.95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4C48805B"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0.86%</w:t>
            </w:r>
          </w:p>
        </w:tc>
        <w:tc>
          <w:tcPr>
            <w:tcW w:w="332" w:type="pct"/>
            <w:tcBorders>
              <w:top w:val="nil"/>
              <w:left w:val="nil"/>
              <w:bottom w:val="single" w:sz="4" w:space="0" w:color="auto"/>
              <w:right w:val="single" w:sz="8" w:space="0" w:color="auto"/>
            </w:tcBorders>
            <w:shd w:val="clear" w:color="auto" w:fill="auto"/>
            <w:vAlign w:val="center"/>
            <w:hideMark/>
          </w:tcPr>
          <w:p w14:paraId="14710179"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0.85%</w:t>
            </w:r>
          </w:p>
        </w:tc>
        <w:tc>
          <w:tcPr>
            <w:tcW w:w="321" w:type="pct"/>
            <w:tcBorders>
              <w:top w:val="nil"/>
              <w:left w:val="nil"/>
              <w:bottom w:val="single" w:sz="4" w:space="0" w:color="auto"/>
              <w:right w:val="single" w:sz="8" w:space="0" w:color="auto"/>
            </w:tcBorders>
            <w:shd w:val="clear" w:color="auto" w:fill="auto"/>
            <w:vAlign w:val="center"/>
            <w:hideMark/>
          </w:tcPr>
          <w:p w14:paraId="4E522D56"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0.85%</w:t>
            </w:r>
          </w:p>
        </w:tc>
        <w:tc>
          <w:tcPr>
            <w:tcW w:w="290" w:type="pct"/>
            <w:tcBorders>
              <w:top w:val="nil"/>
              <w:left w:val="nil"/>
              <w:bottom w:val="single" w:sz="4" w:space="0" w:color="auto"/>
              <w:right w:val="single" w:sz="8" w:space="0" w:color="auto"/>
            </w:tcBorders>
            <w:shd w:val="clear" w:color="auto" w:fill="auto"/>
            <w:vAlign w:val="center"/>
            <w:hideMark/>
          </w:tcPr>
          <w:p w14:paraId="41A226CA"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0.85%</w:t>
            </w:r>
          </w:p>
        </w:tc>
      </w:tr>
      <w:tr w:rsidR="00050BAC" w:rsidRPr="00050BAC" w14:paraId="7C84D2F9"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7A66A1FA"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w:t>
            </w:r>
          </w:p>
        </w:tc>
        <w:tc>
          <w:tcPr>
            <w:tcW w:w="406" w:type="pct"/>
            <w:tcBorders>
              <w:top w:val="nil"/>
              <w:left w:val="nil"/>
              <w:bottom w:val="single" w:sz="4" w:space="0" w:color="auto"/>
              <w:right w:val="single" w:sz="8" w:space="0" w:color="auto"/>
            </w:tcBorders>
            <w:shd w:val="clear" w:color="auto" w:fill="auto"/>
            <w:vAlign w:val="center"/>
            <w:hideMark/>
          </w:tcPr>
          <w:p w14:paraId="4E60EF3A"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Development</w:t>
            </w:r>
          </w:p>
        </w:tc>
        <w:tc>
          <w:tcPr>
            <w:tcW w:w="558" w:type="pct"/>
            <w:tcBorders>
              <w:top w:val="nil"/>
              <w:left w:val="nil"/>
              <w:bottom w:val="single" w:sz="4" w:space="0" w:color="auto"/>
              <w:right w:val="single" w:sz="8" w:space="0" w:color="auto"/>
            </w:tcBorders>
            <w:shd w:val="clear" w:color="auto" w:fill="auto"/>
            <w:vAlign w:val="center"/>
            <w:hideMark/>
          </w:tcPr>
          <w:p w14:paraId="77C66433"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754,635,188.00 </w:t>
            </w:r>
          </w:p>
        </w:tc>
        <w:tc>
          <w:tcPr>
            <w:tcW w:w="569" w:type="pct"/>
            <w:tcBorders>
              <w:top w:val="nil"/>
              <w:left w:val="nil"/>
              <w:bottom w:val="single" w:sz="4" w:space="0" w:color="auto"/>
              <w:right w:val="single" w:sz="8" w:space="0" w:color="auto"/>
            </w:tcBorders>
            <w:shd w:val="clear" w:color="auto" w:fill="auto"/>
            <w:vAlign w:val="center"/>
            <w:hideMark/>
          </w:tcPr>
          <w:p w14:paraId="10FEFA75"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798,680,000.00 </w:t>
            </w:r>
          </w:p>
        </w:tc>
        <w:tc>
          <w:tcPr>
            <w:tcW w:w="522" w:type="pct"/>
            <w:tcBorders>
              <w:top w:val="nil"/>
              <w:left w:val="nil"/>
              <w:bottom w:val="single" w:sz="4" w:space="0" w:color="auto"/>
              <w:right w:val="single" w:sz="8" w:space="0" w:color="auto"/>
            </w:tcBorders>
            <w:shd w:val="clear" w:color="auto" w:fill="auto"/>
            <w:vAlign w:val="center"/>
            <w:hideMark/>
          </w:tcPr>
          <w:p w14:paraId="20DB0CA2"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822,640,400.00 </w:t>
            </w:r>
          </w:p>
        </w:tc>
        <w:tc>
          <w:tcPr>
            <w:tcW w:w="469" w:type="pct"/>
            <w:tcBorders>
              <w:top w:val="nil"/>
              <w:left w:val="nil"/>
              <w:bottom w:val="single" w:sz="4" w:space="0" w:color="auto"/>
              <w:right w:val="nil"/>
            </w:tcBorders>
            <w:shd w:val="clear" w:color="auto" w:fill="auto"/>
            <w:vAlign w:val="center"/>
            <w:hideMark/>
          </w:tcPr>
          <w:p w14:paraId="0E806A30"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847,319,612.00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6F7663EA"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7.11%</w:t>
            </w:r>
          </w:p>
        </w:tc>
        <w:tc>
          <w:tcPr>
            <w:tcW w:w="332" w:type="pct"/>
            <w:tcBorders>
              <w:top w:val="nil"/>
              <w:left w:val="nil"/>
              <w:bottom w:val="single" w:sz="4" w:space="0" w:color="auto"/>
              <w:right w:val="single" w:sz="8" w:space="0" w:color="auto"/>
            </w:tcBorders>
            <w:shd w:val="clear" w:color="auto" w:fill="auto"/>
            <w:vAlign w:val="center"/>
            <w:hideMark/>
          </w:tcPr>
          <w:p w14:paraId="2BE3F5DB"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7.42%</w:t>
            </w:r>
          </w:p>
        </w:tc>
        <w:tc>
          <w:tcPr>
            <w:tcW w:w="321" w:type="pct"/>
            <w:tcBorders>
              <w:top w:val="nil"/>
              <w:left w:val="nil"/>
              <w:bottom w:val="single" w:sz="4" w:space="0" w:color="auto"/>
              <w:right w:val="single" w:sz="8" w:space="0" w:color="auto"/>
            </w:tcBorders>
            <w:shd w:val="clear" w:color="auto" w:fill="auto"/>
            <w:vAlign w:val="center"/>
            <w:hideMark/>
          </w:tcPr>
          <w:p w14:paraId="635B90F9"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7.41%</w:t>
            </w:r>
          </w:p>
        </w:tc>
        <w:tc>
          <w:tcPr>
            <w:tcW w:w="290" w:type="pct"/>
            <w:tcBorders>
              <w:top w:val="nil"/>
              <w:left w:val="nil"/>
              <w:bottom w:val="single" w:sz="4" w:space="0" w:color="auto"/>
              <w:right w:val="single" w:sz="8" w:space="0" w:color="auto"/>
            </w:tcBorders>
            <w:shd w:val="clear" w:color="auto" w:fill="auto"/>
            <w:vAlign w:val="center"/>
            <w:hideMark/>
          </w:tcPr>
          <w:p w14:paraId="4AD5860F"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7.40%</w:t>
            </w:r>
          </w:p>
        </w:tc>
      </w:tr>
      <w:tr w:rsidR="00050BAC" w:rsidRPr="00050BAC" w14:paraId="25FE3ACB" w14:textId="77777777" w:rsidTr="00050BAC">
        <w:trPr>
          <w:trHeight w:val="330"/>
        </w:trPr>
        <w:tc>
          <w:tcPr>
            <w:tcW w:w="1207" w:type="pct"/>
            <w:tcBorders>
              <w:top w:val="nil"/>
              <w:left w:val="single" w:sz="8" w:space="0" w:color="auto"/>
              <w:bottom w:val="single" w:sz="8" w:space="0" w:color="auto"/>
              <w:right w:val="single" w:sz="8" w:space="0" w:color="auto"/>
            </w:tcBorders>
            <w:shd w:val="clear" w:color="auto" w:fill="auto"/>
            <w:vAlign w:val="center"/>
            <w:hideMark/>
          </w:tcPr>
          <w:p w14:paraId="0E9E9F62"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lastRenderedPageBreak/>
              <w:t> </w:t>
            </w:r>
          </w:p>
        </w:tc>
        <w:tc>
          <w:tcPr>
            <w:tcW w:w="406" w:type="pct"/>
            <w:tcBorders>
              <w:top w:val="nil"/>
              <w:left w:val="nil"/>
              <w:bottom w:val="single" w:sz="8" w:space="0" w:color="auto"/>
              <w:right w:val="single" w:sz="8" w:space="0" w:color="auto"/>
            </w:tcBorders>
            <w:shd w:val="clear" w:color="auto" w:fill="auto"/>
            <w:vAlign w:val="center"/>
            <w:hideMark/>
          </w:tcPr>
          <w:p w14:paraId="76552EEA"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Sub-Total</w:t>
            </w:r>
          </w:p>
        </w:tc>
        <w:tc>
          <w:tcPr>
            <w:tcW w:w="558" w:type="pct"/>
            <w:tcBorders>
              <w:top w:val="nil"/>
              <w:left w:val="nil"/>
              <w:bottom w:val="single" w:sz="8" w:space="0" w:color="auto"/>
              <w:right w:val="single" w:sz="8" w:space="0" w:color="auto"/>
            </w:tcBorders>
            <w:shd w:val="clear" w:color="auto" w:fill="auto"/>
            <w:vAlign w:val="center"/>
            <w:hideMark/>
          </w:tcPr>
          <w:p w14:paraId="3CF5CFAD"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845,915,188.00 </w:t>
            </w:r>
          </w:p>
        </w:tc>
        <w:tc>
          <w:tcPr>
            <w:tcW w:w="569" w:type="pct"/>
            <w:tcBorders>
              <w:top w:val="nil"/>
              <w:left w:val="nil"/>
              <w:bottom w:val="single" w:sz="8" w:space="0" w:color="auto"/>
              <w:right w:val="single" w:sz="8" w:space="0" w:color="auto"/>
            </w:tcBorders>
            <w:shd w:val="clear" w:color="auto" w:fill="auto"/>
            <w:vAlign w:val="center"/>
            <w:hideMark/>
          </w:tcPr>
          <w:p w14:paraId="3D2D05AD"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890,051,280.00 </w:t>
            </w:r>
          </w:p>
        </w:tc>
        <w:tc>
          <w:tcPr>
            <w:tcW w:w="522" w:type="pct"/>
            <w:tcBorders>
              <w:top w:val="nil"/>
              <w:left w:val="nil"/>
              <w:bottom w:val="single" w:sz="8" w:space="0" w:color="auto"/>
              <w:right w:val="single" w:sz="8" w:space="0" w:color="auto"/>
            </w:tcBorders>
            <w:shd w:val="clear" w:color="auto" w:fill="auto"/>
            <w:vAlign w:val="center"/>
            <w:hideMark/>
          </w:tcPr>
          <w:p w14:paraId="033F91EC"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916,752,818.40 </w:t>
            </w:r>
          </w:p>
        </w:tc>
        <w:tc>
          <w:tcPr>
            <w:tcW w:w="469" w:type="pct"/>
            <w:tcBorders>
              <w:top w:val="nil"/>
              <w:left w:val="nil"/>
              <w:bottom w:val="single" w:sz="8" w:space="0" w:color="auto"/>
              <w:right w:val="nil"/>
            </w:tcBorders>
            <w:shd w:val="clear" w:color="auto" w:fill="auto"/>
            <w:vAlign w:val="center"/>
            <w:hideMark/>
          </w:tcPr>
          <w:p w14:paraId="38CDB691"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944,255,402.95 </w:t>
            </w:r>
          </w:p>
        </w:tc>
        <w:tc>
          <w:tcPr>
            <w:tcW w:w="327" w:type="pct"/>
            <w:tcBorders>
              <w:top w:val="nil"/>
              <w:left w:val="single" w:sz="8" w:space="0" w:color="auto"/>
              <w:bottom w:val="single" w:sz="8" w:space="0" w:color="auto"/>
              <w:right w:val="single" w:sz="8" w:space="0" w:color="auto"/>
            </w:tcBorders>
            <w:shd w:val="clear" w:color="auto" w:fill="auto"/>
            <w:vAlign w:val="center"/>
            <w:hideMark/>
          </w:tcPr>
          <w:p w14:paraId="46E1BC7C"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7.97%</w:t>
            </w:r>
          </w:p>
        </w:tc>
        <w:tc>
          <w:tcPr>
            <w:tcW w:w="332" w:type="pct"/>
            <w:tcBorders>
              <w:top w:val="nil"/>
              <w:left w:val="nil"/>
              <w:bottom w:val="single" w:sz="8" w:space="0" w:color="auto"/>
              <w:right w:val="single" w:sz="8" w:space="0" w:color="auto"/>
            </w:tcBorders>
            <w:shd w:val="clear" w:color="auto" w:fill="auto"/>
            <w:vAlign w:val="center"/>
            <w:hideMark/>
          </w:tcPr>
          <w:p w14:paraId="5D08A96D"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8.27%</w:t>
            </w:r>
          </w:p>
        </w:tc>
        <w:tc>
          <w:tcPr>
            <w:tcW w:w="321" w:type="pct"/>
            <w:tcBorders>
              <w:top w:val="nil"/>
              <w:left w:val="nil"/>
              <w:bottom w:val="single" w:sz="8" w:space="0" w:color="auto"/>
              <w:right w:val="single" w:sz="8" w:space="0" w:color="auto"/>
            </w:tcBorders>
            <w:shd w:val="clear" w:color="auto" w:fill="auto"/>
            <w:vAlign w:val="center"/>
            <w:hideMark/>
          </w:tcPr>
          <w:p w14:paraId="3058A645"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8.25%</w:t>
            </w:r>
          </w:p>
        </w:tc>
        <w:tc>
          <w:tcPr>
            <w:tcW w:w="290" w:type="pct"/>
            <w:tcBorders>
              <w:top w:val="nil"/>
              <w:left w:val="nil"/>
              <w:bottom w:val="single" w:sz="8" w:space="0" w:color="auto"/>
              <w:right w:val="single" w:sz="8" w:space="0" w:color="auto"/>
            </w:tcBorders>
            <w:shd w:val="clear" w:color="auto" w:fill="auto"/>
            <w:vAlign w:val="center"/>
            <w:hideMark/>
          </w:tcPr>
          <w:p w14:paraId="53EF7F94"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8.25%</w:t>
            </w:r>
          </w:p>
        </w:tc>
      </w:tr>
    </w:tbl>
    <w:p w14:paraId="1AF9BD9D" w14:textId="77777777" w:rsidR="00A95382" w:rsidRDefault="00A95382" w:rsidP="00BC4546">
      <w:pPr>
        <w:spacing w:before="9" w:after="172" w:line="276" w:lineRule="exact"/>
        <w:rPr>
          <w:rFonts w:ascii="Times New Roman" w:hAnsi="Times New Roman" w:cs="Times New Roman"/>
          <w:b/>
          <w:bCs/>
          <w:spacing w:val="1"/>
          <w:sz w:val="24"/>
          <w:szCs w:val="24"/>
        </w:rPr>
      </w:pPr>
    </w:p>
    <w:tbl>
      <w:tblPr>
        <w:tblW w:w="5000" w:type="pct"/>
        <w:tblLook w:val="04A0" w:firstRow="1" w:lastRow="0" w:firstColumn="1" w:lastColumn="0" w:noHBand="0" w:noVBand="1"/>
      </w:tblPr>
      <w:tblGrid>
        <w:gridCol w:w="3082"/>
        <w:gridCol w:w="1294"/>
        <w:gridCol w:w="1466"/>
        <w:gridCol w:w="1466"/>
        <w:gridCol w:w="1466"/>
        <w:gridCol w:w="1466"/>
        <w:gridCol w:w="1050"/>
        <w:gridCol w:w="905"/>
        <w:gridCol w:w="872"/>
        <w:gridCol w:w="872"/>
      </w:tblGrid>
      <w:tr w:rsidR="00050BAC" w:rsidRPr="00050BAC" w14:paraId="5E477001" w14:textId="77777777" w:rsidTr="00050BAC">
        <w:trPr>
          <w:trHeight w:val="330"/>
        </w:trPr>
        <w:tc>
          <w:tcPr>
            <w:tcW w:w="5000" w:type="pct"/>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7AA9C715"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Table 2.5 Summary of Indicative Departmental Ceilings for FY 2020/21 MTEF</w:t>
            </w:r>
          </w:p>
        </w:tc>
      </w:tr>
      <w:tr w:rsidR="00050BAC" w:rsidRPr="00050BAC" w14:paraId="7D76FB64" w14:textId="77777777" w:rsidTr="00050BAC">
        <w:trPr>
          <w:trHeight w:val="330"/>
        </w:trPr>
        <w:tc>
          <w:tcPr>
            <w:tcW w:w="1207" w:type="pct"/>
            <w:vMerge w:val="restart"/>
            <w:tcBorders>
              <w:top w:val="nil"/>
              <w:left w:val="single" w:sz="8" w:space="0" w:color="auto"/>
              <w:bottom w:val="single" w:sz="4" w:space="0" w:color="auto"/>
              <w:right w:val="single" w:sz="8" w:space="0" w:color="auto"/>
            </w:tcBorders>
            <w:shd w:val="clear" w:color="auto" w:fill="auto"/>
            <w:vAlign w:val="center"/>
            <w:hideMark/>
          </w:tcPr>
          <w:p w14:paraId="75A0CE78"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Departments</w:t>
            </w:r>
          </w:p>
        </w:tc>
        <w:tc>
          <w:tcPr>
            <w:tcW w:w="406" w:type="pct"/>
            <w:tcBorders>
              <w:top w:val="nil"/>
              <w:left w:val="nil"/>
              <w:bottom w:val="single" w:sz="8" w:space="0" w:color="auto"/>
              <w:right w:val="single" w:sz="8" w:space="0" w:color="auto"/>
            </w:tcBorders>
            <w:shd w:val="clear" w:color="auto" w:fill="auto"/>
            <w:vAlign w:val="center"/>
            <w:hideMark/>
          </w:tcPr>
          <w:p w14:paraId="351DD851"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558" w:type="pct"/>
            <w:tcBorders>
              <w:top w:val="nil"/>
              <w:left w:val="nil"/>
              <w:bottom w:val="single" w:sz="8" w:space="0" w:color="auto"/>
              <w:right w:val="single" w:sz="8" w:space="0" w:color="auto"/>
            </w:tcBorders>
            <w:shd w:val="clear" w:color="auto" w:fill="auto"/>
            <w:vAlign w:val="center"/>
            <w:hideMark/>
          </w:tcPr>
          <w:p w14:paraId="55006587"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Revised Estimates </w:t>
            </w:r>
          </w:p>
        </w:tc>
        <w:tc>
          <w:tcPr>
            <w:tcW w:w="569" w:type="pct"/>
            <w:tcBorders>
              <w:top w:val="nil"/>
              <w:left w:val="nil"/>
              <w:bottom w:val="single" w:sz="8" w:space="0" w:color="auto"/>
              <w:right w:val="single" w:sz="8" w:space="0" w:color="auto"/>
            </w:tcBorders>
            <w:shd w:val="clear" w:color="auto" w:fill="auto"/>
            <w:vAlign w:val="center"/>
            <w:hideMark/>
          </w:tcPr>
          <w:p w14:paraId="0B43DE89"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Estimates </w:t>
            </w:r>
          </w:p>
        </w:tc>
        <w:tc>
          <w:tcPr>
            <w:tcW w:w="991" w:type="pct"/>
            <w:gridSpan w:val="2"/>
            <w:tcBorders>
              <w:top w:val="single" w:sz="8" w:space="0" w:color="auto"/>
              <w:left w:val="nil"/>
              <w:bottom w:val="single" w:sz="8" w:space="0" w:color="auto"/>
              <w:right w:val="single" w:sz="4" w:space="0" w:color="auto"/>
            </w:tcBorders>
            <w:shd w:val="clear" w:color="000000" w:fill="E2EFDA"/>
            <w:vAlign w:val="center"/>
            <w:hideMark/>
          </w:tcPr>
          <w:p w14:paraId="45BCF63A"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Projections </w:t>
            </w:r>
          </w:p>
        </w:tc>
        <w:tc>
          <w:tcPr>
            <w:tcW w:w="327" w:type="pct"/>
            <w:tcBorders>
              <w:top w:val="nil"/>
              <w:left w:val="single" w:sz="8" w:space="0" w:color="auto"/>
              <w:bottom w:val="single" w:sz="8" w:space="0" w:color="auto"/>
              <w:right w:val="single" w:sz="8" w:space="0" w:color="auto"/>
            </w:tcBorders>
            <w:shd w:val="clear" w:color="auto" w:fill="auto"/>
            <w:vAlign w:val="center"/>
            <w:hideMark/>
          </w:tcPr>
          <w:p w14:paraId="7D3EDB58"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Estimates </w:t>
            </w:r>
          </w:p>
        </w:tc>
        <w:tc>
          <w:tcPr>
            <w:tcW w:w="332" w:type="pct"/>
            <w:tcBorders>
              <w:top w:val="nil"/>
              <w:left w:val="nil"/>
              <w:bottom w:val="single" w:sz="8" w:space="0" w:color="auto"/>
              <w:right w:val="single" w:sz="8" w:space="0" w:color="auto"/>
            </w:tcBorders>
            <w:shd w:val="clear" w:color="auto" w:fill="auto"/>
            <w:vAlign w:val="center"/>
            <w:hideMark/>
          </w:tcPr>
          <w:p w14:paraId="6F71BBB9"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Ceilings</w:t>
            </w:r>
          </w:p>
        </w:tc>
        <w:tc>
          <w:tcPr>
            <w:tcW w:w="611" w:type="pct"/>
            <w:gridSpan w:val="2"/>
            <w:tcBorders>
              <w:top w:val="single" w:sz="8" w:space="0" w:color="auto"/>
              <w:left w:val="nil"/>
              <w:bottom w:val="single" w:sz="8" w:space="0" w:color="auto"/>
              <w:right w:val="single" w:sz="8" w:space="0" w:color="000000"/>
            </w:tcBorders>
            <w:shd w:val="clear" w:color="auto" w:fill="auto"/>
            <w:vAlign w:val="center"/>
            <w:hideMark/>
          </w:tcPr>
          <w:p w14:paraId="793B92AD"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Projections </w:t>
            </w:r>
          </w:p>
        </w:tc>
      </w:tr>
      <w:tr w:rsidR="00050BAC" w:rsidRPr="00050BAC" w14:paraId="50DDC11D" w14:textId="77777777" w:rsidTr="00050BAC">
        <w:trPr>
          <w:trHeight w:val="330"/>
        </w:trPr>
        <w:tc>
          <w:tcPr>
            <w:tcW w:w="1207" w:type="pct"/>
            <w:vMerge/>
            <w:tcBorders>
              <w:top w:val="nil"/>
              <w:left w:val="single" w:sz="8" w:space="0" w:color="auto"/>
              <w:bottom w:val="single" w:sz="4" w:space="0" w:color="auto"/>
              <w:right w:val="single" w:sz="8" w:space="0" w:color="auto"/>
            </w:tcBorders>
            <w:vAlign w:val="center"/>
            <w:hideMark/>
          </w:tcPr>
          <w:p w14:paraId="589737F8"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p>
        </w:tc>
        <w:tc>
          <w:tcPr>
            <w:tcW w:w="406" w:type="pct"/>
            <w:tcBorders>
              <w:top w:val="nil"/>
              <w:left w:val="nil"/>
              <w:bottom w:val="single" w:sz="4" w:space="0" w:color="auto"/>
              <w:right w:val="single" w:sz="8" w:space="0" w:color="auto"/>
            </w:tcBorders>
            <w:shd w:val="clear" w:color="auto" w:fill="auto"/>
            <w:vAlign w:val="center"/>
            <w:hideMark/>
          </w:tcPr>
          <w:p w14:paraId="3C4AFCAF"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558" w:type="pct"/>
            <w:tcBorders>
              <w:top w:val="nil"/>
              <w:left w:val="nil"/>
              <w:bottom w:val="single" w:sz="8" w:space="0" w:color="auto"/>
              <w:right w:val="single" w:sz="8" w:space="0" w:color="auto"/>
            </w:tcBorders>
            <w:shd w:val="clear" w:color="auto" w:fill="auto"/>
            <w:vAlign w:val="center"/>
            <w:hideMark/>
          </w:tcPr>
          <w:p w14:paraId="23CCAC61"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2019/20 </w:t>
            </w:r>
          </w:p>
        </w:tc>
        <w:tc>
          <w:tcPr>
            <w:tcW w:w="569" w:type="pct"/>
            <w:tcBorders>
              <w:top w:val="nil"/>
              <w:left w:val="nil"/>
              <w:bottom w:val="single" w:sz="8" w:space="0" w:color="auto"/>
              <w:right w:val="single" w:sz="8" w:space="0" w:color="auto"/>
            </w:tcBorders>
            <w:shd w:val="clear" w:color="auto" w:fill="auto"/>
            <w:vAlign w:val="center"/>
            <w:hideMark/>
          </w:tcPr>
          <w:p w14:paraId="7DFDC0CE"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2020/21 </w:t>
            </w:r>
          </w:p>
        </w:tc>
        <w:tc>
          <w:tcPr>
            <w:tcW w:w="522" w:type="pct"/>
            <w:tcBorders>
              <w:top w:val="nil"/>
              <w:left w:val="nil"/>
              <w:bottom w:val="single" w:sz="8" w:space="0" w:color="auto"/>
              <w:right w:val="single" w:sz="8" w:space="0" w:color="auto"/>
            </w:tcBorders>
            <w:shd w:val="clear" w:color="auto" w:fill="auto"/>
            <w:vAlign w:val="center"/>
            <w:hideMark/>
          </w:tcPr>
          <w:p w14:paraId="0ADA8830"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2021/22 </w:t>
            </w:r>
          </w:p>
        </w:tc>
        <w:tc>
          <w:tcPr>
            <w:tcW w:w="469" w:type="pct"/>
            <w:tcBorders>
              <w:top w:val="nil"/>
              <w:left w:val="nil"/>
              <w:bottom w:val="single" w:sz="8" w:space="0" w:color="auto"/>
              <w:right w:val="nil"/>
            </w:tcBorders>
            <w:shd w:val="clear" w:color="auto" w:fill="auto"/>
            <w:vAlign w:val="center"/>
            <w:hideMark/>
          </w:tcPr>
          <w:p w14:paraId="7CA75BBF"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2022/23 </w:t>
            </w:r>
          </w:p>
        </w:tc>
        <w:tc>
          <w:tcPr>
            <w:tcW w:w="327" w:type="pct"/>
            <w:tcBorders>
              <w:top w:val="nil"/>
              <w:left w:val="single" w:sz="8" w:space="0" w:color="auto"/>
              <w:bottom w:val="single" w:sz="8" w:space="0" w:color="auto"/>
              <w:right w:val="single" w:sz="8" w:space="0" w:color="auto"/>
            </w:tcBorders>
            <w:shd w:val="clear" w:color="auto" w:fill="auto"/>
            <w:vAlign w:val="center"/>
            <w:hideMark/>
          </w:tcPr>
          <w:p w14:paraId="3B77A513"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2019/20 </w:t>
            </w:r>
          </w:p>
        </w:tc>
        <w:tc>
          <w:tcPr>
            <w:tcW w:w="332" w:type="pct"/>
            <w:tcBorders>
              <w:top w:val="nil"/>
              <w:left w:val="nil"/>
              <w:bottom w:val="single" w:sz="8" w:space="0" w:color="auto"/>
              <w:right w:val="single" w:sz="8" w:space="0" w:color="auto"/>
            </w:tcBorders>
            <w:shd w:val="clear" w:color="auto" w:fill="auto"/>
            <w:vAlign w:val="center"/>
            <w:hideMark/>
          </w:tcPr>
          <w:p w14:paraId="780498F3"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2020/21</w:t>
            </w:r>
          </w:p>
        </w:tc>
        <w:tc>
          <w:tcPr>
            <w:tcW w:w="321" w:type="pct"/>
            <w:tcBorders>
              <w:top w:val="nil"/>
              <w:left w:val="nil"/>
              <w:bottom w:val="single" w:sz="8" w:space="0" w:color="auto"/>
              <w:right w:val="single" w:sz="8" w:space="0" w:color="auto"/>
            </w:tcBorders>
            <w:shd w:val="clear" w:color="auto" w:fill="auto"/>
            <w:vAlign w:val="center"/>
            <w:hideMark/>
          </w:tcPr>
          <w:p w14:paraId="636C9451"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2021/22 </w:t>
            </w:r>
          </w:p>
        </w:tc>
        <w:tc>
          <w:tcPr>
            <w:tcW w:w="290" w:type="pct"/>
            <w:tcBorders>
              <w:top w:val="nil"/>
              <w:left w:val="nil"/>
              <w:bottom w:val="single" w:sz="8" w:space="0" w:color="auto"/>
              <w:right w:val="single" w:sz="8" w:space="0" w:color="auto"/>
            </w:tcBorders>
            <w:shd w:val="clear" w:color="auto" w:fill="auto"/>
            <w:vAlign w:val="center"/>
            <w:hideMark/>
          </w:tcPr>
          <w:p w14:paraId="5782D2CC"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2022/23 </w:t>
            </w:r>
          </w:p>
        </w:tc>
      </w:tr>
      <w:tr w:rsidR="00050BAC" w:rsidRPr="00050BAC" w14:paraId="2A938CBF" w14:textId="77777777" w:rsidTr="00050BAC">
        <w:trPr>
          <w:trHeight w:val="630"/>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664649AD"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Trade, Investment, Industrialization, Tourism &amp; Cooperative Development</w:t>
            </w:r>
          </w:p>
        </w:tc>
        <w:tc>
          <w:tcPr>
            <w:tcW w:w="406" w:type="pct"/>
            <w:tcBorders>
              <w:top w:val="nil"/>
              <w:left w:val="nil"/>
              <w:bottom w:val="single" w:sz="4" w:space="0" w:color="auto"/>
              <w:right w:val="single" w:sz="8" w:space="0" w:color="auto"/>
            </w:tcBorders>
            <w:shd w:val="clear" w:color="auto" w:fill="auto"/>
            <w:vAlign w:val="center"/>
            <w:hideMark/>
          </w:tcPr>
          <w:p w14:paraId="31857160"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Recurrent</w:t>
            </w:r>
          </w:p>
        </w:tc>
        <w:tc>
          <w:tcPr>
            <w:tcW w:w="558" w:type="pct"/>
            <w:tcBorders>
              <w:top w:val="nil"/>
              <w:left w:val="nil"/>
              <w:bottom w:val="single" w:sz="4" w:space="0" w:color="auto"/>
              <w:right w:val="single" w:sz="8" w:space="0" w:color="auto"/>
            </w:tcBorders>
            <w:shd w:val="clear" w:color="auto" w:fill="auto"/>
            <w:vAlign w:val="center"/>
            <w:hideMark/>
          </w:tcPr>
          <w:p w14:paraId="675B4F8E"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81,900,000.00 </w:t>
            </w:r>
          </w:p>
        </w:tc>
        <w:tc>
          <w:tcPr>
            <w:tcW w:w="569" w:type="pct"/>
            <w:tcBorders>
              <w:top w:val="nil"/>
              <w:left w:val="nil"/>
              <w:bottom w:val="single" w:sz="4" w:space="0" w:color="auto"/>
              <w:right w:val="single" w:sz="8" w:space="0" w:color="auto"/>
            </w:tcBorders>
            <w:shd w:val="clear" w:color="auto" w:fill="auto"/>
            <w:vAlign w:val="center"/>
            <w:hideMark/>
          </w:tcPr>
          <w:p w14:paraId="3507F911"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83,121,000.00 </w:t>
            </w:r>
          </w:p>
        </w:tc>
        <w:tc>
          <w:tcPr>
            <w:tcW w:w="522" w:type="pct"/>
            <w:tcBorders>
              <w:top w:val="nil"/>
              <w:left w:val="nil"/>
              <w:bottom w:val="single" w:sz="4" w:space="0" w:color="auto"/>
              <w:right w:val="single" w:sz="8" w:space="0" w:color="auto"/>
            </w:tcBorders>
            <w:shd w:val="clear" w:color="auto" w:fill="auto"/>
            <w:vAlign w:val="center"/>
            <w:hideMark/>
          </w:tcPr>
          <w:p w14:paraId="0DEACC08"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85,614,630.00 </w:t>
            </w:r>
          </w:p>
        </w:tc>
        <w:tc>
          <w:tcPr>
            <w:tcW w:w="469" w:type="pct"/>
            <w:tcBorders>
              <w:top w:val="nil"/>
              <w:left w:val="nil"/>
              <w:bottom w:val="single" w:sz="4" w:space="0" w:color="auto"/>
              <w:right w:val="nil"/>
            </w:tcBorders>
            <w:shd w:val="clear" w:color="auto" w:fill="auto"/>
            <w:vAlign w:val="center"/>
            <w:hideMark/>
          </w:tcPr>
          <w:p w14:paraId="03A213FF"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88,183,068.90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7BE5BCE1"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0.77%</w:t>
            </w:r>
          </w:p>
        </w:tc>
        <w:tc>
          <w:tcPr>
            <w:tcW w:w="332" w:type="pct"/>
            <w:tcBorders>
              <w:top w:val="nil"/>
              <w:left w:val="nil"/>
              <w:bottom w:val="single" w:sz="4" w:space="0" w:color="auto"/>
              <w:right w:val="single" w:sz="8" w:space="0" w:color="auto"/>
            </w:tcBorders>
            <w:shd w:val="clear" w:color="auto" w:fill="auto"/>
            <w:vAlign w:val="center"/>
            <w:hideMark/>
          </w:tcPr>
          <w:p w14:paraId="378BFA20"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0.77%</w:t>
            </w:r>
          </w:p>
        </w:tc>
        <w:tc>
          <w:tcPr>
            <w:tcW w:w="321" w:type="pct"/>
            <w:tcBorders>
              <w:top w:val="nil"/>
              <w:left w:val="nil"/>
              <w:bottom w:val="single" w:sz="4" w:space="0" w:color="auto"/>
              <w:right w:val="single" w:sz="8" w:space="0" w:color="auto"/>
            </w:tcBorders>
            <w:shd w:val="clear" w:color="auto" w:fill="auto"/>
            <w:vAlign w:val="center"/>
            <w:hideMark/>
          </w:tcPr>
          <w:p w14:paraId="1007772B"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0.77%</w:t>
            </w:r>
          </w:p>
        </w:tc>
        <w:tc>
          <w:tcPr>
            <w:tcW w:w="290" w:type="pct"/>
            <w:tcBorders>
              <w:top w:val="nil"/>
              <w:left w:val="nil"/>
              <w:bottom w:val="single" w:sz="4" w:space="0" w:color="auto"/>
              <w:right w:val="single" w:sz="8" w:space="0" w:color="auto"/>
            </w:tcBorders>
            <w:shd w:val="clear" w:color="auto" w:fill="auto"/>
            <w:vAlign w:val="center"/>
            <w:hideMark/>
          </w:tcPr>
          <w:p w14:paraId="0973626C"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0.77%</w:t>
            </w:r>
          </w:p>
        </w:tc>
      </w:tr>
      <w:tr w:rsidR="00050BAC" w:rsidRPr="00050BAC" w14:paraId="1B86C86E"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798B481C"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w:t>
            </w:r>
          </w:p>
        </w:tc>
        <w:tc>
          <w:tcPr>
            <w:tcW w:w="406" w:type="pct"/>
            <w:tcBorders>
              <w:top w:val="nil"/>
              <w:left w:val="nil"/>
              <w:bottom w:val="single" w:sz="4" w:space="0" w:color="auto"/>
              <w:right w:val="single" w:sz="8" w:space="0" w:color="auto"/>
            </w:tcBorders>
            <w:shd w:val="clear" w:color="auto" w:fill="auto"/>
            <w:vAlign w:val="center"/>
            <w:hideMark/>
          </w:tcPr>
          <w:p w14:paraId="6F5A5A5F"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Development</w:t>
            </w:r>
          </w:p>
        </w:tc>
        <w:tc>
          <w:tcPr>
            <w:tcW w:w="558" w:type="pct"/>
            <w:tcBorders>
              <w:top w:val="nil"/>
              <w:left w:val="nil"/>
              <w:bottom w:val="single" w:sz="4" w:space="0" w:color="auto"/>
              <w:right w:val="single" w:sz="8" w:space="0" w:color="auto"/>
            </w:tcBorders>
            <w:shd w:val="clear" w:color="auto" w:fill="auto"/>
            <w:vAlign w:val="center"/>
            <w:hideMark/>
          </w:tcPr>
          <w:p w14:paraId="7849E69E"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88,380,000.00 </w:t>
            </w:r>
          </w:p>
        </w:tc>
        <w:tc>
          <w:tcPr>
            <w:tcW w:w="569" w:type="pct"/>
            <w:tcBorders>
              <w:top w:val="nil"/>
              <w:left w:val="nil"/>
              <w:bottom w:val="single" w:sz="4" w:space="0" w:color="auto"/>
              <w:right w:val="single" w:sz="8" w:space="0" w:color="auto"/>
            </w:tcBorders>
            <w:shd w:val="clear" w:color="auto" w:fill="auto"/>
            <w:vAlign w:val="center"/>
            <w:hideMark/>
          </w:tcPr>
          <w:p w14:paraId="46214232"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119,000,000.00 </w:t>
            </w:r>
          </w:p>
        </w:tc>
        <w:tc>
          <w:tcPr>
            <w:tcW w:w="522" w:type="pct"/>
            <w:tcBorders>
              <w:top w:val="nil"/>
              <w:left w:val="nil"/>
              <w:bottom w:val="single" w:sz="4" w:space="0" w:color="auto"/>
              <w:right w:val="single" w:sz="8" w:space="0" w:color="auto"/>
            </w:tcBorders>
            <w:shd w:val="clear" w:color="auto" w:fill="auto"/>
            <w:vAlign w:val="center"/>
            <w:hideMark/>
          </w:tcPr>
          <w:p w14:paraId="04F54951"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122,570,000.00 </w:t>
            </w:r>
          </w:p>
        </w:tc>
        <w:tc>
          <w:tcPr>
            <w:tcW w:w="469" w:type="pct"/>
            <w:tcBorders>
              <w:top w:val="nil"/>
              <w:left w:val="nil"/>
              <w:bottom w:val="single" w:sz="4" w:space="0" w:color="auto"/>
              <w:right w:val="nil"/>
            </w:tcBorders>
            <w:shd w:val="clear" w:color="auto" w:fill="auto"/>
            <w:vAlign w:val="center"/>
            <w:hideMark/>
          </w:tcPr>
          <w:p w14:paraId="510A5109"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126,247,100.00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13D3B158"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0.83%</w:t>
            </w:r>
          </w:p>
        </w:tc>
        <w:tc>
          <w:tcPr>
            <w:tcW w:w="332" w:type="pct"/>
            <w:tcBorders>
              <w:top w:val="nil"/>
              <w:left w:val="nil"/>
              <w:bottom w:val="single" w:sz="4" w:space="0" w:color="auto"/>
              <w:right w:val="single" w:sz="8" w:space="0" w:color="auto"/>
            </w:tcBorders>
            <w:shd w:val="clear" w:color="auto" w:fill="auto"/>
            <w:vAlign w:val="center"/>
            <w:hideMark/>
          </w:tcPr>
          <w:p w14:paraId="3B474619"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1.11%</w:t>
            </w:r>
          </w:p>
        </w:tc>
        <w:tc>
          <w:tcPr>
            <w:tcW w:w="321" w:type="pct"/>
            <w:tcBorders>
              <w:top w:val="nil"/>
              <w:left w:val="nil"/>
              <w:bottom w:val="single" w:sz="4" w:space="0" w:color="auto"/>
              <w:right w:val="single" w:sz="8" w:space="0" w:color="auto"/>
            </w:tcBorders>
            <w:shd w:val="clear" w:color="auto" w:fill="auto"/>
            <w:vAlign w:val="center"/>
            <w:hideMark/>
          </w:tcPr>
          <w:p w14:paraId="385911B6"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1.10%</w:t>
            </w:r>
          </w:p>
        </w:tc>
        <w:tc>
          <w:tcPr>
            <w:tcW w:w="290" w:type="pct"/>
            <w:tcBorders>
              <w:top w:val="nil"/>
              <w:left w:val="nil"/>
              <w:bottom w:val="single" w:sz="4" w:space="0" w:color="auto"/>
              <w:right w:val="single" w:sz="8" w:space="0" w:color="auto"/>
            </w:tcBorders>
            <w:shd w:val="clear" w:color="auto" w:fill="auto"/>
            <w:vAlign w:val="center"/>
            <w:hideMark/>
          </w:tcPr>
          <w:p w14:paraId="4C094AC8"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1.10%</w:t>
            </w:r>
          </w:p>
        </w:tc>
      </w:tr>
      <w:tr w:rsidR="00050BAC" w:rsidRPr="00050BAC" w14:paraId="2D383C78"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1CC3DB69"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406" w:type="pct"/>
            <w:tcBorders>
              <w:top w:val="nil"/>
              <w:left w:val="nil"/>
              <w:bottom w:val="single" w:sz="4" w:space="0" w:color="auto"/>
              <w:right w:val="single" w:sz="8" w:space="0" w:color="auto"/>
            </w:tcBorders>
            <w:shd w:val="clear" w:color="auto" w:fill="auto"/>
            <w:vAlign w:val="center"/>
            <w:hideMark/>
          </w:tcPr>
          <w:p w14:paraId="20C50E82"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Sub-Total</w:t>
            </w:r>
          </w:p>
        </w:tc>
        <w:tc>
          <w:tcPr>
            <w:tcW w:w="558" w:type="pct"/>
            <w:tcBorders>
              <w:top w:val="nil"/>
              <w:left w:val="nil"/>
              <w:bottom w:val="single" w:sz="4" w:space="0" w:color="auto"/>
              <w:right w:val="single" w:sz="8" w:space="0" w:color="auto"/>
            </w:tcBorders>
            <w:shd w:val="clear" w:color="auto" w:fill="auto"/>
            <w:vAlign w:val="center"/>
            <w:hideMark/>
          </w:tcPr>
          <w:p w14:paraId="42CA5004"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170,280,000.00 </w:t>
            </w:r>
          </w:p>
        </w:tc>
        <w:tc>
          <w:tcPr>
            <w:tcW w:w="569" w:type="pct"/>
            <w:tcBorders>
              <w:top w:val="nil"/>
              <w:left w:val="nil"/>
              <w:bottom w:val="single" w:sz="4" w:space="0" w:color="auto"/>
              <w:right w:val="single" w:sz="8" w:space="0" w:color="auto"/>
            </w:tcBorders>
            <w:shd w:val="clear" w:color="auto" w:fill="auto"/>
            <w:vAlign w:val="center"/>
            <w:hideMark/>
          </w:tcPr>
          <w:p w14:paraId="666C8B88"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202,121,000.00 </w:t>
            </w:r>
          </w:p>
        </w:tc>
        <w:tc>
          <w:tcPr>
            <w:tcW w:w="522" w:type="pct"/>
            <w:tcBorders>
              <w:top w:val="nil"/>
              <w:left w:val="nil"/>
              <w:bottom w:val="single" w:sz="4" w:space="0" w:color="auto"/>
              <w:right w:val="single" w:sz="8" w:space="0" w:color="auto"/>
            </w:tcBorders>
            <w:shd w:val="clear" w:color="auto" w:fill="auto"/>
            <w:vAlign w:val="center"/>
            <w:hideMark/>
          </w:tcPr>
          <w:p w14:paraId="6D31D7B1"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208,184,630.00 </w:t>
            </w:r>
          </w:p>
        </w:tc>
        <w:tc>
          <w:tcPr>
            <w:tcW w:w="469" w:type="pct"/>
            <w:tcBorders>
              <w:top w:val="nil"/>
              <w:left w:val="nil"/>
              <w:bottom w:val="single" w:sz="4" w:space="0" w:color="auto"/>
              <w:right w:val="nil"/>
            </w:tcBorders>
            <w:shd w:val="clear" w:color="auto" w:fill="auto"/>
            <w:vAlign w:val="center"/>
            <w:hideMark/>
          </w:tcPr>
          <w:p w14:paraId="2C2C81BC"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214,430,168.90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4279DA72"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1.61%</w:t>
            </w:r>
          </w:p>
        </w:tc>
        <w:tc>
          <w:tcPr>
            <w:tcW w:w="332" w:type="pct"/>
            <w:tcBorders>
              <w:top w:val="nil"/>
              <w:left w:val="nil"/>
              <w:bottom w:val="single" w:sz="4" w:space="0" w:color="auto"/>
              <w:right w:val="single" w:sz="8" w:space="0" w:color="auto"/>
            </w:tcBorders>
            <w:shd w:val="clear" w:color="auto" w:fill="auto"/>
            <w:vAlign w:val="center"/>
            <w:hideMark/>
          </w:tcPr>
          <w:p w14:paraId="57BE1663"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1.88%</w:t>
            </w:r>
          </w:p>
        </w:tc>
        <w:tc>
          <w:tcPr>
            <w:tcW w:w="321" w:type="pct"/>
            <w:tcBorders>
              <w:top w:val="nil"/>
              <w:left w:val="nil"/>
              <w:bottom w:val="single" w:sz="4" w:space="0" w:color="auto"/>
              <w:right w:val="single" w:sz="8" w:space="0" w:color="auto"/>
            </w:tcBorders>
            <w:shd w:val="clear" w:color="auto" w:fill="auto"/>
            <w:vAlign w:val="center"/>
            <w:hideMark/>
          </w:tcPr>
          <w:p w14:paraId="326DBF0A"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1.87%</w:t>
            </w:r>
          </w:p>
        </w:tc>
        <w:tc>
          <w:tcPr>
            <w:tcW w:w="290" w:type="pct"/>
            <w:tcBorders>
              <w:top w:val="nil"/>
              <w:left w:val="nil"/>
              <w:bottom w:val="single" w:sz="4" w:space="0" w:color="auto"/>
              <w:right w:val="single" w:sz="8" w:space="0" w:color="auto"/>
            </w:tcBorders>
            <w:shd w:val="clear" w:color="auto" w:fill="auto"/>
            <w:vAlign w:val="center"/>
            <w:hideMark/>
          </w:tcPr>
          <w:p w14:paraId="3746ABC4"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1.87%</w:t>
            </w:r>
          </w:p>
        </w:tc>
      </w:tr>
      <w:tr w:rsidR="00050BAC" w:rsidRPr="00050BAC" w14:paraId="4CCCC943"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61749F42"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Youth Affairs &amp; Sports</w:t>
            </w:r>
          </w:p>
        </w:tc>
        <w:tc>
          <w:tcPr>
            <w:tcW w:w="406" w:type="pct"/>
            <w:tcBorders>
              <w:top w:val="nil"/>
              <w:left w:val="nil"/>
              <w:bottom w:val="single" w:sz="4" w:space="0" w:color="auto"/>
              <w:right w:val="single" w:sz="8" w:space="0" w:color="auto"/>
            </w:tcBorders>
            <w:shd w:val="clear" w:color="auto" w:fill="auto"/>
            <w:vAlign w:val="center"/>
            <w:hideMark/>
          </w:tcPr>
          <w:p w14:paraId="520E94BF"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Recurrent</w:t>
            </w:r>
          </w:p>
        </w:tc>
        <w:tc>
          <w:tcPr>
            <w:tcW w:w="558" w:type="pct"/>
            <w:tcBorders>
              <w:top w:val="nil"/>
              <w:left w:val="nil"/>
              <w:bottom w:val="single" w:sz="4" w:space="0" w:color="auto"/>
              <w:right w:val="single" w:sz="8" w:space="0" w:color="auto"/>
            </w:tcBorders>
            <w:shd w:val="clear" w:color="auto" w:fill="auto"/>
            <w:vAlign w:val="center"/>
            <w:hideMark/>
          </w:tcPr>
          <w:p w14:paraId="146D4133"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170,200,000.00 </w:t>
            </w:r>
          </w:p>
        </w:tc>
        <w:tc>
          <w:tcPr>
            <w:tcW w:w="569" w:type="pct"/>
            <w:tcBorders>
              <w:top w:val="nil"/>
              <w:left w:val="nil"/>
              <w:bottom w:val="single" w:sz="4" w:space="0" w:color="auto"/>
              <w:right w:val="single" w:sz="8" w:space="0" w:color="auto"/>
            </w:tcBorders>
            <w:shd w:val="clear" w:color="auto" w:fill="auto"/>
            <w:vAlign w:val="center"/>
            <w:hideMark/>
          </w:tcPr>
          <w:p w14:paraId="3E6B04E3"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188,800,000.00 </w:t>
            </w:r>
          </w:p>
        </w:tc>
        <w:tc>
          <w:tcPr>
            <w:tcW w:w="522" w:type="pct"/>
            <w:tcBorders>
              <w:top w:val="nil"/>
              <w:left w:val="nil"/>
              <w:bottom w:val="single" w:sz="4" w:space="0" w:color="auto"/>
              <w:right w:val="single" w:sz="8" w:space="0" w:color="auto"/>
            </w:tcBorders>
            <w:shd w:val="clear" w:color="auto" w:fill="auto"/>
            <w:vAlign w:val="center"/>
            <w:hideMark/>
          </w:tcPr>
          <w:p w14:paraId="2AA75D9F"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194,464,000.00 </w:t>
            </w:r>
          </w:p>
        </w:tc>
        <w:tc>
          <w:tcPr>
            <w:tcW w:w="469" w:type="pct"/>
            <w:tcBorders>
              <w:top w:val="nil"/>
              <w:left w:val="nil"/>
              <w:bottom w:val="single" w:sz="4" w:space="0" w:color="auto"/>
              <w:right w:val="nil"/>
            </w:tcBorders>
            <w:shd w:val="clear" w:color="auto" w:fill="auto"/>
            <w:vAlign w:val="center"/>
            <w:hideMark/>
          </w:tcPr>
          <w:p w14:paraId="71BF587A"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200,297,920.00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54B2379B"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1.60%</w:t>
            </w:r>
          </w:p>
        </w:tc>
        <w:tc>
          <w:tcPr>
            <w:tcW w:w="332" w:type="pct"/>
            <w:tcBorders>
              <w:top w:val="nil"/>
              <w:left w:val="nil"/>
              <w:bottom w:val="single" w:sz="4" w:space="0" w:color="auto"/>
              <w:right w:val="single" w:sz="8" w:space="0" w:color="auto"/>
            </w:tcBorders>
            <w:shd w:val="clear" w:color="auto" w:fill="auto"/>
            <w:vAlign w:val="center"/>
            <w:hideMark/>
          </w:tcPr>
          <w:p w14:paraId="540C15BE"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1.75%</w:t>
            </w:r>
          </w:p>
        </w:tc>
        <w:tc>
          <w:tcPr>
            <w:tcW w:w="321" w:type="pct"/>
            <w:tcBorders>
              <w:top w:val="nil"/>
              <w:left w:val="nil"/>
              <w:bottom w:val="single" w:sz="4" w:space="0" w:color="auto"/>
              <w:right w:val="single" w:sz="8" w:space="0" w:color="auto"/>
            </w:tcBorders>
            <w:shd w:val="clear" w:color="auto" w:fill="auto"/>
            <w:vAlign w:val="center"/>
            <w:hideMark/>
          </w:tcPr>
          <w:p w14:paraId="6EAAEB18"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1.75%</w:t>
            </w:r>
          </w:p>
        </w:tc>
        <w:tc>
          <w:tcPr>
            <w:tcW w:w="290" w:type="pct"/>
            <w:tcBorders>
              <w:top w:val="nil"/>
              <w:left w:val="nil"/>
              <w:bottom w:val="single" w:sz="4" w:space="0" w:color="auto"/>
              <w:right w:val="single" w:sz="8" w:space="0" w:color="auto"/>
            </w:tcBorders>
            <w:shd w:val="clear" w:color="auto" w:fill="auto"/>
            <w:vAlign w:val="center"/>
            <w:hideMark/>
          </w:tcPr>
          <w:p w14:paraId="2E09E617"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1.75%</w:t>
            </w:r>
          </w:p>
        </w:tc>
      </w:tr>
      <w:tr w:rsidR="00050BAC" w:rsidRPr="00050BAC" w14:paraId="2D72601E"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6751DF10"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w:t>
            </w:r>
          </w:p>
        </w:tc>
        <w:tc>
          <w:tcPr>
            <w:tcW w:w="406" w:type="pct"/>
            <w:tcBorders>
              <w:top w:val="nil"/>
              <w:left w:val="nil"/>
              <w:bottom w:val="single" w:sz="4" w:space="0" w:color="auto"/>
              <w:right w:val="single" w:sz="8" w:space="0" w:color="auto"/>
            </w:tcBorders>
            <w:shd w:val="clear" w:color="auto" w:fill="auto"/>
            <w:vAlign w:val="center"/>
            <w:hideMark/>
          </w:tcPr>
          <w:p w14:paraId="4AE74CD7"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Development</w:t>
            </w:r>
          </w:p>
        </w:tc>
        <w:tc>
          <w:tcPr>
            <w:tcW w:w="558" w:type="pct"/>
            <w:tcBorders>
              <w:top w:val="nil"/>
              <w:left w:val="nil"/>
              <w:bottom w:val="single" w:sz="4" w:space="0" w:color="auto"/>
              <w:right w:val="single" w:sz="8" w:space="0" w:color="auto"/>
            </w:tcBorders>
            <w:shd w:val="clear" w:color="auto" w:fill="auto"/>
            <w:vAlign w:val="center"/>
            <w:hideMark/>
          </w:tcPr>
          <w:p w14:paraId="267BC0C1"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51,400,000.00 </w:t>
            </w:r>
          </w:p>
        </w:tc>
        <w:tc>
          <w:tcPr>
            <w:tcW w:w="569" w:type="pct"/>
            <w:tcBorders>
              <w:top w:val="nil"/>
              <w:left w:val="nil"/>
              <w:bottom w:val="single" w:sz="4" w:space="0" w:color="auto"/>
              <w:right w:val="single" w:sz="8" w:space="0" w:color="auto"/>
            </w:tcBorders>
            <w:shd w:val="clear" w:color="auto" w:fill="auto"/>
            <w:vAlign w:val="center"/>
            <w:hideMark/>
          </w:tcPr>
          <w:p w14:paraId="749E6E1F"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61,400,000.00 </w:t>
            </w:r>
          </w:p>
        </w:tc>
        <w:tc>
          <w:tcPr>
            <w:tcW w:w="522" w:type="pct"/>
            <w:tcBorders>
              <w:top w:val="nil"/>
              <w:left w:val="nil"/>
              <w:bottom w:val="single" w:sz="4" w:space="0" w:color="auto"/>
              <w:right w:val="single" w:sz="8" w:space="0" w:color="auto"/>
            </w:tcBorders>
            <w:shd w:val="clear" w:color="auto" w:fill="auto"/>
            <w:vAlign w:val="center"/>
            <w:hideMark/>
          </w:tcPr>
          <w:p w14:paraId="7CF39C6F"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63,242,000.00 </w:t>
            </w:r>
          </w:p>
        </w:tc>
        <w:tc>
          <w:tcPr>
            <w:tcW w:w="469" w:type="pct"/>
            <w:tcBorders>
              <w:top w:val="nil"/>
              <w:left w:val="nil"/>
              <w:bottom w:val="single" w:sz="4" w:space="0" w:color="auto"/>
              <w:right w:val="nil"/>
            </w:tcBorders>
            <w:shd w:val="clear" w:color="auto" w:fill="auto"/>
            <w:vAlign w:val="center"/>
            <w:hideMark/>
          </w:tcPr>
          <w:p w14:paraId="28C55439"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65,139,260.00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353CD8F6"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0.48%</w:t>
            </w:r>
          </w:p>
        </w:tc>
        <w:tc>
          <w:tcPr>
            <w:tcW w:w="332" w:type="pct"/>
            <w:tcBorders>
              <w:top w:val="nil"/>
              <w:left w:val="nil"/>
              <w:bottom w:val="single" w:sz="4" w:space="0" w:color="auto"/>
              <w:right w:val="single" w:sz="8" w:space="0" w:color="auto"/>
            </w:tcBorders>
            <w:shd w:val="clear" w:color="auto" w:fill="auto"/>
            <w:vAlign w:val="center"/>
            <w:hideMark/>
          </w:tcPr>
          <w:p w14:paraId="7A5C2F6E"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0.57%</w:t>
            </w:r>
          </w:p>
        </w:tc>
        <w:tc>
          <w:tcPr>
            <w:tcW w:w="321" w:type="pct"/>
            <w:tcBorders>
              <w:top w:val="nil"/>
              <w:left w:val="nil"/>
              <w:bottom w:val="single" w:sz="4" w:space="0" w:color="auto"/>
              <w:right w:val="single" w:sz="8" w:space="0" w:color="auto"/>
            </w:tcBorders>
            <w:shd w:val="clear" w:color="auto" w:fill="auto"/>
            <w:vAlign w:val="center"/>
            <w:hideMark/>
          </w:tcPr>
          <w:p w14:paraId="3D94758A"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0.57%</w:t>
            </w:r>
          </w:p>
        </w:tc>
        <w:tc>
          <w:tcPr>
            <w:tcW w:w="290" w:type="pct"/>
            <w:tcBorders>
              <w:top w:val="nil"/>
              <w:left w:val="nil"/>
              <w:bottom w:val="single" w:sz="4" w:space="0" w:color="auto"/>
              <w:right w:val="single" w:sz="8" w:space="0" w:color="auto"/>
            </w:tcBorders>
            <w:shd w:val="clear" w:color="auto" w:fill="auto"/>
            <w:vAlign w:val="center"/>
            <w:hideMark/>
          </w:tcPr>
          <w:p w14:paraId="036DFC3D"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0.57%</w:t>
            </w:r>
          </w:p>
        </w:tc>
      </w:tr>
      <w:tr w:rsidR="00050BAC" w:rsidRPr="00050BAC" w14:paraId="14D954E0"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17DE1BF8"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406" w:type="pct"/>
            <w:tcBorders>
              <w:top w:val="nil"/>
              <w:left w:val="nil"/>
              <w:bottom w:val="single" w:sz="4" w:space="0" w:color="auto"/>
              <w:right w:val="single" w:sz="8" w:space="0" w:color="auto"/>
            </w:tcBorders>
            <w:shd w:val="clear" w:color="auto" w:fill="auto"/>
            <w:vAlign w:val="center"/>
            <w:hideMark/>
          </w:tcPr>
          <w:p w14:paraId="3EE3ADFE"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Sub-Total</w:t>
            </w:r>
          </w:p>
        </w:tc>
        <w:tc>
          <w:tcPr>
            <w:tcW w:w="558" w:type="pct"/>
            <w:tcBorders>
              <w:top w:val="nil"/>
              <w:left w:val="nil"/>
              <w:bottom w:val="single" w:sz="4" w:space="0" w:color="auto"/>
              <w:right w:val="single" w:sz="8" w:space="0" w:color="auto"/>
            </w:tcBorders>
            <w:shd w:val="clear" w:color="auto" w:fill="auto"/>
            <w:vAlign w:val="center"/>
            <w:hideMark/>
          </w:tcPr>
          <w:p w14:paraId="3F96CC41"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221,600,000.00 </w:t>
            </w:r>
          </w:p>
        </w:tc>
        <w:tc>
          <w:tcPr>
            <w:tcW w:w="569" w:type="pct"/>
            <w:tcBorders>
              <w:top w:val="nil"/>
              <w:left w:val="nil"/>
              <w:bottom w:val="single" w:sz="4" w:space="0" w:color="auto"/>
              <w:right w:val="single" w:sz="8" w:space="0" w:color="auto"/>
            </w:tcBorders>
            <w:shd w:val="clear" w:color="auto" w:fill="auto"/>
            <w:vAlign w:val="center"/>
            <w:hideMark/>
          </w:tcPr>
          <w:p w14:paraId="1726B16F"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250,200,000.00 </w:t>
            </w:r>
          </w:p>
        </w:tc>
        <w:tc>
          <w:tcPr>
            <w:tcW w:w="522" w:type="pct"/>
            <w:tcBorders>
              <w:top w:val="nil"/>
              <w:left w:val="nil"/>
              <w:bottom w:val="single" w:sz="4" w:space="0" w:color="auto"/>
              <w:right w:val="single" w:sz="8" w:space="0" w:color="auto"/>
            </w:tcBorders>
            <w:shd w:val="clear" w:color="auto" w:fill="auto"/>
            <w:vAlign w:val="center"/>
            <w:hideMark/>
          </w:tcPr>
          <w:p w14:paraId="42719E4E"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257,706,000.00 </w:t>
            </w:r>
          </w:p>
        </w:tc>
        <w:tc>
          <w:tcPr>
            <w:tcW w:w="469" w:type="pct"/>
            <w:tcBorders>
              <w:top w:val="nil"/>
              <w:left w:val="nil"/>
              <w:bottom w:val="single" w:sz="4" w:space="0" w:color="auto"/>
              <w:right w:val="nil"/>
            </w:tcBorders>
            <w:shd w:val="clear" w:color="auto" w:fill="auto"/>
            <w:vAlign w:val="center"/>
            <w:hideMark/>
          </w:tcPr>
          <w:p w14:paraId="1BD2EBE8"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265,437,180.00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05B0E765"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2.09%</w:t>
            </w:r>
          </w:p>
        </w:tc>
        <w:tc>
          <w:tcPr>
            <w:tcW w:w="332" w:type="pct"/>
            <w:tcBorders>
              <w:top w:val="nil"/>
              <w:left w:val="nil"/>
              <w:bottom w:val="single" w:sz="4" w:space="0" w:color="auto"/>
              <w:right w:val="single" w:sz="8" w:space="0" w:color="auto"/>
            </w:tcBorders>
            <w:shd w:val="clear" w:color="auto" w:fill="auto"/>
            <w:vAlign w:val="center"/>
            <w:hideMark/>
          </w:tcPr>
          <w:p w14:paraId="6EA9C56F"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2.32%</w:t>
            </w:r>
          </w:p>
        </w:tc>
        <w:tc>
          <w:tcPr>
            <w:tcW w:w="321" w:type="pct"/>
            <w:tcBorders>
              <w:top w:val="nil"/>
              <w:left w:val="nil"/>
              <w:bottom w:val="single" w:sz="4" w:space="0" w:color="auto"/>
              <w:right w:val="single" w:sz="8" w:space="0" w:color="auto"/>
            </w:tcBorders>
            <w:shd w:val="clear" w:color="auto" w:fill="auto"/>
            <w:vAlign w:val="center"/>
            <w:hideMark/>
          </w:tcPr>
          <w:p w14:paraId="020838ED"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2.32%</w:t>
            </w:r>
          </w:p>
        </w:tc>
        <w:tc>
          <w:tcPr>
            <w:tcW w:w="290" w:type="pct"/>
            <w:tcBorders>
              <w:top w:val="nil"/>
              <w:left w:val="nil"/>
              <w:bottom w:val="single" w:sz="4" w:space="0" w:color="auto"/>
              <w:right w:val="single" w:sz="8" w:space="0" w:color="auto"/>
            </w:tcBorders>
            <w:shd w:val="clear" w:color="auto" w:fill="auto"/>
            <w:vAlign w:val="center"/>
            <w:hideMark/>
          </w:tcPr>
          <w:p w14:paraId="107C8A7B"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2.32%</w:t>
            </w:r>
          </w:p>
        </w:tc>
      </w:tr>
      <w:tr w:rsidR="00050BAC" w:rsidRPr="00050BAC" w14:paraId="492260B6"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7099C4BA"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Public Service Board</w:t>
            </w:r>
          </w:p>
        </w:tc>
        <w:tc>
          <w:tcPr>
            <w:tcW w:w="406" w:type="pct"/>
            <w:tcBorders>
              <w:top w:val="nil"/>
              <w:left w:val="nil"/>
              <w:bottom w:val="single" w:sz="4" w:space="0" w:color="auto"/>
              <w:right w:val="single" w:sz="8" w:space="0" w:color="auto"/>
            </w:tcBorders>
            <w:shd w:val="clear" w:color="auto" w:fill="auto"/>
            <w:vAlign w:val="center"/>
            <w:hideMark/>
          </w:tcPr>
          <w:p w14:paraId="561D0BFB"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Recurrent</w:t>
            </w:r>
          </w:p>
        </w:tc>
        <w:tc>
          <w:tcPr>
            <w:tcW w:w="558" w:type="pct"/>
            <w:tcBorders>
              <w:top w:val="nil"/>
              <w:left w:val="nil"/>
              <w:bottom w:val="single" w:sz="4" w:space="0" w:color="auto"/>
              <w:right w:val="single" w:sz="8" w:space="0" w:color="auto"/>
            </w:tcBorders>
            <w:shd w:val="clear" w:color="auto" w:fill="auto"/>
            <w:vAlign w:val="center"/>
            <w:hideMark/>
          </w:tcPr>
          <w:p w14:paraId="33617221"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15,000,000.00 </w:t>
            </w:r>
          </w:p>
        </w:tc>
        <w:tc>
          <w:tcPr>
            <w:tcW w:w="569" w:type="pct"/>
            <w:tcBorders>
              <w:top w:val="nil"/>
              <w:left w:val="nil"/>
              <w:bottom w:val="single" w:sz="4" w:space="0" w:color="auto"/>
              <w:right w:val="single" w:sz="8" w:space="0" w:color="auto"/>
            </w:tcBorders>
            <w:shd w:val="clear" w:color="auto" w:fill="auto"/>
            <w:vAlign w:val="center"/>
            <w:hideMark/>
          </w:tcPr>
          <w:p w14:paraId="3C641C94"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17,100,000.00 </w:t>
            </w:r>
          </w:p>
        </w:tc>
        <w:tc>
          <w:tcPr>
            <w:tcW w:w="522" w:type="pct"/>
            <w:tcBorders>
              <w:top w:val="nil"/>
              <w:left w:val="nil"/>
              <w:bottom w:val="single" w:sz="4" w:space="0" w:color="auto"/>
              <w:right w:val="single" w:sz="8" w:space="0" w:color="auto"/>
            </w:tcBorders>
            <w:shd w:val="clear" w:color="auto" w:fill="auto"/>
            <w:vAlign w:val="center"/>
            <w:hideMark/>
          </w:tcPr>
          <w:p w14:paraId="67A92345"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17,613,000.00 </w:t>
            </w:r>
          </w:p>
        </w:tc>
        <w:tc>
          <w:tcPr>
            <w:tcW w:w="469" w:type="pct"/>
            <w:tcBorders>
              <w:top w:val="nil"/>
              <w:left w:val="nil"/>
              <w:bottom w:val="single" w:sz="4" w:space="0" w:color="auto"/>
              <w:right w:val="nil"/>
            </w:tcBorders>
            <w:shd w:val="clear" w:color="auto" w:fill="auto"/>
            <w:vAlign w:val="center"/>
            <w:hideMark/>
          </w:tcPr>
          <w:p w14:paraId="5EBAEF2C"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18,141,390.00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44765469"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0.14%</w:t>
            </w:r>
          </w:p>
        </w:tc>
        <w:tc>
          <w:tcPr>
            <w:tcW w:w="332" w:type="pct"/>
            <w:tcBorders>
              <w:top w:val="nil"/>
              <w:left w:val="nil"/>
              <w:bottom w:val="single" w:sz="4" w:space="0" w:color="auto"/>
              <w:right w:val="single" w:sz="8" w:space="0" w:color="auto"/>
            </w:tcBorders>
            <w:shd w:val="clear" w:color="auto" w:fill="auto"/>
            <w:vAlign w:val="center"/>
            <w:hideMark/>
          </w:tcPr>
          <w:p w14:paraId="0A91096E"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0.16%</w:t>
            </w:r>
          </w:p>
        </w:tc>
        <w:tc>
          <w:tcPr>
            <w:tcW w:w="321" w:type="pct"/>
            <w:tcBorders>
              <w:top w:val="nil"/>
              <w:left w:val="nil"/>
              <w:bottom w:val="single" w:sz="4" w:space="0" w:color="auto"/>
              <w:right w:val="single" w:sz="8" w:space="0" w:color="auto"/>
            </w:tcBorders>
            <w:shd w:val="clear" w:color="auto" w:fill="auto"/>
            <w:vAlign w:val="center"/>
            <w:hideMark/>
          </w:tcPr>
          <w:p w14:paraId="792366CC"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0.16%</w:t>
            </w:r>
          </w:p>
        </w:tc>
        <w:tc>
          <w:tcPr>
            <w:tcW w:w="290" w:type="pct"/>
            <w:tcBorders>
              <w:top w:val="nil"/>
              <w:left w:val="nil"/>
              <w:bottom w:val="single" w:sz="4" w:space="0" w:color="auto"/>
              <w:right w:val="single" w:sz="8" w:space="0" w:color="auto"/>
            </w:tcBorders>
            <w:shd w:val="clear" w:color="auto" w:fill="auto"/>
            <w:vAlign w:val="center"/>
            <w:hideMark/>
          </w:tcPr>
          <w:p w14:paraId="5E2B95E5"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1.00%</w:t>
            </w:r>
          </w:p>
        </w:tc>
      </w:tr>
      <w:tr w:rsidR="00050BAC" w:rsidRPr="00050BAC" w14:paraId="24C49426"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46E4FCE2"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w:t>
            </w:r>
          </w:p>
        </w:tc>
        <w:tc>
          <w:tcPr>
            <w:tcW w:w="406" w:type="pct"/>
            <w:tcBorders>
              <w:top w:val="nil"/>
              <w:left w:val="nil"/>
              <w:bottom w:val="single" w:sz="4" w:space="0" w:color="auto"/>
              <w:right w:val="single" w:sz="8" w:space="0" w:color="auto"/>
            </w:tcBorders>
            <w:shd w:val="clear" w:color="auto" w:fill="auto"/>
            <w:vAlign w:val="center"/>
            <w:hideMark/>
          </w:tcPr>
          <w:p w14:paraId="59C650FA"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Development</w:t>
            </w:r>
          </w:p>
        </w:tc>
        <w:tc>
          <w:tcPr>
            <w:tcW w:w="558" w:type="pct"/>
            <w:tcBorders>
              <w:top w:val="nil"/>
              <w:left w:val="nil"/>
              <w:bottom w:val="single" w:sz="4" w:space="0" w:color="auto"/>
              <w:right w:val="single" w:sz="8" w:space="0" w:color="auto"/>
            </w:tcBorders>
            <w:shd w:val="clear" w:color="auto" w:fill="auto"/>
            <w:vAlign w:val="center"/>
            <w:hideMark/>
          </w:tcPr>
          <w:p w14:paraId="281D6FB9"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   </w:t>
            </w:r>
          </w:p>
        </w:tc>
        <w:tc>
          <w:tcPr>
            <w:tcW w:w="569" w:type="pct"/>
            <w:tcBorders>
              <w:top w:val="nil"/>
              <w:left w:val="nil"/>
              <w:bottom w:val="single" w:sz="4" w:space="0" w:color="auto"/>
              <w:right w:val="single" w:sz="8" w:space="0" w:color="auto"/>
            </w:tcBorders>
            <w:shd w:val="clear" w:color="auto" w:fill="auto"/>
            <w:vAlign w:val="center"/>
            <w:hideMark/>
          </w:tcPr>
          <w:p w14:paraId="0C53CB13"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w:t>
            </w:r>
          </w:p>
        </w:tc>
        <w:tc>
          <w:tcPr>
            <w:tcW w:w="522" w:type="pct"/>
            <w:tcBorders>
              <w:top w:val="nil"/>
              <w:left w:val="nil"/>
              <w:bottom w:val="single" w:sz="4" w:space="0" w:color="auto"/>
              <w:right w:val="single" w:sz="8" w:space="0" w:color="auto"/>
            </w:tcBorders>
            <w:shd w:val="clear" w:color="auto" w:fill="auto"/>
            <w:vAlign w:val="center"/>
            <w:hideMark/>
          </w:tcPr>
          <w:p w14:paraId="05A25A98"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   </w:t>
            </w:r>
          </w:p>
        </w:tc>
        <w:tc>
          <w:tcPr>
            <w:tcW w:w="469" w:type="pct"/>
            <w:tcBorders>
              <w:top w:val="nil"/>
              <w:left w:val="nil"/>
              <w:bottom w:val="single" w:sz="4" w:space="0" w:color="auto"/>
              <w:right w:val="nil"/>
            </w:tcBorders>
            <w:shd w:val="clear" w:color="auto" w:fill="auto"/>
            <w:vAlign w:val="center"/>
            <w:hideMark/>
          </w:tcPr>
          <w:p w14:paraId="407A1FA8"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281D50D7"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w:t>
            </w:r>
          </w:p>
        </w:tc>
        <w:tc>
          <w:tcPr>
            <w:tcW w:w="332" w:type="pct"/>
            <w:tcBorders>
              <w:top w:val="nil"/>
              <w:left w:val="nil"/>
              <w:bottom w:val="single" w:sz="4" w:space="0" w:color="auto"/>
              <w:right w:val="single" w:sz="8" w:space="0" w:color="auto"/>
            </w:tcBorders>
            <w:shd w:val="clear" w:color="auto" w:fill="auto"/>
            <w:vAlign w:val="center"/>
            <w:hideMark/>
          </w:tcPr>
          <w:p w14:paraId="07B315A9"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w:t>
            </w:r>
          </w:p>
        </w:tc>
        <w:tc>
          <w:tcPr>
            <w:tcW w:w="321" w:type="pct"/>
            <w:tcBorders>
              <w:top w:val="nil"/>
              <w:left w:val="nil"/>
              <w:bottom w:val="single" w:sz="4" w:space="0" w:color="auto"/>
              <w:right w:val="single" w:sz="8" w:space="0" w:color="auto"/>
            </w:tcBorders>
            <w:shd w:val="clear" w:color="auto" w:fill="auto"/>
            <w:vAlign w:val="center"/>
            <w:hideMark/>
          </w:tcPr>
          <w:p w14:paraId="7C52A7CB"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0.00%</w:t>
            </w:r>
          </w:p>
        </w:tc>
        <w:tc>
          <w:tcPr>
            <w:tcW w:w="290" w:type="pct"/>
            <w:tcBorders>
              <w:top w:val="nil"/>
              <w:left w:val="nil"/>
              <w:bottom w:val="single" w:sz="4" w:space="0" w:color="auto"/>
              <w:right w:val="single" w:sz="8" w:space="0" w:color="auto"/>
            </w:tcBorders>
            <w:shd w:val="clear" w:color="auto" w:fill="auto"/>
            <w:vAlign w:val="center"/>
            <w:hideMark/>
          </w:tcPr>
          <w:p w14:paraId="09FC07D1"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w:t>
            </w:r>
          </w:p>
        </w:tc>
      </w:tr>
      <w:tr w:rsidR="00050BAC" w:rsidRPr="00050BAC" w14:paraId="3279491A"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24744AA0"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406" w:type="pct"/>
            <w:tcBorders>
              <w:top w:val="nil"/>
              <w:left w:val="nil"/>
              <w:bottom w:val="single" w:sz="4" w:space="0" w:color="auto"/>
              <w:right w:val="single" w:sz="8" w:space="0" w:color="auto"/>
            </w:tcBorders>
            <w:shd w:val="clear" w:color="auto" w:fill="auto"/>
            <w:vAlign w:val="center"/>
            <w:hideMark/>
          </w:tcPr>
          <w:p w14:paraId="1C5FA748"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Sub-Total</w:t>
            </w:r>
          </w:p>
        </w:tc>
        <w:tc>
          <w:tcPr>
            <w:tcW w:w="558" w:type="pct"/>
            <w:tcBorders>
              <w:top w:val="nil"/>
              <w:left w:val="nil"/>
              <w:bottom w:val="single" w:sz="4" w:space="0" w:color="auto"/>
              <w:right w:val="single" w:sz="8" w:space="0" w:color="auto"/>
            </w:tcBorders>
            <w:shd w:val="clear" w:color="auto" w:fill="auto"/>
            <w:vAlign w:val="center"/>
            <w:hideMark/>
          </w:tcPr>
          <w:p w14:paraId="1CA12FC1"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15,000,000.00 </w:t>
            </w:r>
          </w:p>
        </w:tc>
        <w:tc>
          <w:tcPr>
            <w:tcW w:w="569" w:type="pct"/>
            <w:tcBorders>
              <w:top w:val="nil"/>
              <w:left w:val="nil"/>
              <w:bottom w:val="single" w:sz="4" w:space="0" w:color="auto"/>
              <w:right w:val="single" w:sz="8" w:space="0" w:color="auto"/>
            </w:tcBorders>
            <w:shd w:val="clear" w:color="auto" w:fill="auto"/>
            <w:vAlign w:val="center"/>
            <w:hideMark/>
          </w:tcPr>
          <w:p w14:paraId="6EB1B43C"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17,100,000.00 </w:t>
            </w:r>
          </w:p>
        </w:tc>
        <w:tc>
          <w:tcPr>
            <w:tcW w:w="522" w:type="pct"/>
            <w:tcBorders>
              <w:top w:val="nil"/>
              <w:left w:val="nil"/>
              <w:bottom w:val="single" w:sz="4" w:space="0" w:color="auto"/>
              <w:right w:val="single" w:sz="8" w:space="0" w:color="auto"/>
            </w:tcBorders>
            <w:shd w:val="clear" w:color="auto" w:fill="auto"/>
            <w:vAlign w:val="center"/>
            <w:hideMark/>
          </w:tcPr>
          <w:p w14:paraId="325C59AF"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17,613,000.00 </w:t>
            </w:r>
          </w:p>
        </w:tc>
        <w:tc>
          <w:tcPr>
            <w:tcW w:w="469" w:type="pct"/>
            <w:tcBorders>
              <w:top w:val="nil"/>
              <w:left w:val="nil"/>
              <w:bottom w:val="single" w:sz="4" w:space="0" w:color="auto"/>
              <w:right w:val="nil"/>
            </w:tcBorders>
            <w:shd w:val="clear" w:color="auto" w:fill="auto"/>
            <w:vAlign w:val="center"/>
            <w:hideMark/>
          </w:tcPr>
          <w:p w14:paraId="1BE95A08"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18,141,390.00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622F9502"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0.14%</w:t>
            </w:r>
          </w:p>
        </w:tc>
        <w:tc>
          <w:tcPr>
            <w:tcW w:w="332" w:type="pct"/>
            <w:tcBorders>
              <w:top w:val="nil"/>
              <w:left w:val="nil"/>
              <w:bottom w:val="single" w:sz="4" w:space="0" w:color="auto"/>
              <w:right w:val="single" w:sz="8" w:space="0" w:color="auto"/>
            </w:tcBorders>
            <w:shd w:val="clear" w:color="auto" w:fill="auto"/>
            <w:vAlign w:val="center"/>
            <w:hideMark/>
          </w:tcPr>
          <w:p w14:paraId="56745F18"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0.16%</w:t>
            </w:r>
          </w:p>
        </w:tc>
        <w:tc>
          <w:tcPr>
            <w:tcW w:w="321" w:type="pct"/>
            <w:tcBorders>
              <w:top w:val="nil"/>
              <w:left w:val="nil"/>
              <w:bottom w:val="single" w:sz="4" w:space="0" w:color="auto"/>
              <w:right w:val="single" w:sz="8" w:space="0" w:color="auto"/>
            </w:tcBorders>
            <w:shd w:val="clear" w:color="auto" w:fill="auto"/>
            <w:vAlign w:val="center"/>
            <w:hideMark/>
          </w:tcPr>
          <w:p w14:paraId="4970EEBD"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0.16%</w:t>
            </w:r>
          </w:p>
        </w:tc>
        <w:tc>
          <w:tcPr>
            <w:tcW w:w="290" w:type="pct"/>
            <w:tcBorders>
              <w:top w:val="nil"/>
              <w:left w:val="nil"/>
              <w:bottom w:val="single" w:sz="4" w:space="0" w:color="auto"/>
              <w:right w:val="single" w:sz="8" w:space="0" w:color="auto"/>
            </w:tcBorders>
            <w:shd w:val="clear" w:color="auto" w:fill="auto"/>
            <w:vAlign w:val="center"/>
            <w:hideMark/>
          </w:tcPr>
          <w:p w14:paraId="0C83AC65"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0.16%</w:t>
            </w:r>
          </w:p>
        </w:tc>
      </w:tr>
      <w:tr w:rsidR="00050BAC" w:rsidRPr="00050BAC" w14:paraId="07B93F46"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71F63CF0"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Environment, Wildlife &amp; Natural Resources</w:t>
            </w:r>
          </w:p>
        </w:tc>
        <w:tc>
          <w:tcPr>
            <w:tcW w:w="406" w:type="pct"/>
            <w:tcBorders>
              <w:top w:val="nil"/>
              <w:left w:val="nil"/>
              <w:bottom w:val="single" w:sz="4" w:space="0" w:color="auto"/>
              <w:right w:val="single" w:sz="8" w:space="0" w:color="auto"/>
            </w:tcBorders>
            <w:shd w:val="clear" w:color="auto" w:fill="auto"/>
            <w:vAlign w:val="center"/>
            <w:hideMark/>
          </w:tcPr>
          <w:p w14:paraId="0E8CC2DE"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Recurrent</w:t>
            </w:r>
          </w:p>
        </w:tc>
        <w:tc>
          <w:tcPr>
            <w:tcW w:w="558" w:type="pct"/>
            <w:tcBorders>
              <w:top w:val="nil"/>
              <w:left w:val="nil"/>
              <w:bottom w:val="single" w:sz="4" w:space="0" w:color="auto"/>
              <w:right w:val="single" w:sz="8" w:space="0" w:color="auto"/>
            </w:tcBorders>
            <w:shd w:val="clear" w:color="auto" w:fill="auto"/>
            <w:vAlign w:val="center"/>
            <w:hideMark/>
          </w:tcPr>
          <w:p w14:paraId="491C85E8"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41,100,000.00 </w:t>
            </w:r>
          </w:p>
        </w:tc>
        <w:tc>
          <w:tcPr>
            <w:tcW w:w="569" w:type="pct"/>
            <w:tcBorders>
              <w:top w:val="nil"/>
              <w:left w:val="nil"/>
              <w:bottom w:val="single" w:sz="4" w:space="0" w:color="auto"/>
              <w:right w:val="single" w:sz="8" w:space="0" w:color="auto"/>
            </w:tcBorders>
            <w:shd w:val="clear" w:color="auto" w:fill="auto"/>
            <w:vAlign w:val="center"/>
            <w:hideMark/>
          </w:tcPr>
          <w:p w14:paraId="6649E527"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41,922,000.00 </w:t>
            </w:r>
          </w:p>
        </w:tc>
        <w:tc>
          <w:tcPr>
            <w:tcW w:w="522" w:type="pct"/>
            <w:tcBorders>
              <w:top w:val="nil"/>
              <w:left w:val="nil"/>
              <w:bottom w:val="single" w:sz="4" w:space="0" w:color="auto"/>
              <w:right w:val="single" w:sz="8" w:space="0" w:color="auto"/>
            </w:tcBorders>
            <w:shd w:val="clear" w:color="auto" w:fill="auto"/>
            <w:vAlign w:val="center"/>
            <w:hideMark/>
          </w:tcPr>
          <w:p w14:paraId="3BE8FB22"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43,179,660.00 </w:t>
            </w:r>
          </w:p>
        </w:tc>
        <w:tc>
          <w:tcPr>
            <w:tcW w:w="469" w:type="pct"/>
            <w:tcBorders>
              <w:top w:val="nil"/>
              <w:left w:val="nil"/>
              <w:bottom w:val="single" w:sz="4" w:space="0" w:color="auto"/>
              <w:right w:val="nil"/>
            </w:tcBorders>
            <w:shd w:val="clear" w:color="auto" w:fill="auto"/>
            <w:vAlign w:val="center"/>
            <w:hideMark/>
          </w:tcPr>
          <w:p w14:paraId="73F72BC1"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44,475,049.80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6C56743C"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0.39%</w:t>
            </w:r>
          </w:p>
        </w:tc>
        <w:tc>
          <w:tcPr>
            <w:tcW w:w="332" w:type="pct"/>
            <w:tcBorders>
              <w:top w:val="nil"/>
              <w:left w:val="nil"/>
              <w:bottom w:val="single" w:sz="4" w:space="0" w:color="auto"/>
              <w:right w:val="single" w:sz="8" w:space="0" w:color="auto"/>
            </w:tcBorders>
            <w:shd w:val="clear" w:color="auto" w:fill="auto"/>
            <w:vAlign w:val="center"/>
            <w:hideMark/>
          </w:tcPr>
          <w:p w14:paraId="4BB61C01"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0.40%</w:t>
            </w:r>
          </w:p>
        </w:tc>
        <w:tc>
          <w:tcPr>
            <w:tcW w:w="321" w:type="pct"/>
            <w:tcBorders>
              <w:top w:val="nil"/>
              <w:left w:val="nil"/>
              <w:bottom w:val="single" w:sz="4" w:space="0" w:color="auto"/>
              <w:right w:val="single" w:sz="8" w:space="0" w:color="auto"/>
            </w:tcBorders>
            <w:shd w:val="clear" w:color="auto" w:fill="auto"/>
            <w:vAlign w:val="center"/>
            <w:hideMark/>
          </w:tcPr>
          <w:p w14:paraId="245D3618"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0.39%</w:t>
            </w:r>
          </w:p>
        </w:tc>
        <w:tc>
          <w:tcPr>
            <w:tcW w:w="290" w:type="pct"/>
            <w:tcBorders>
              <w:top w:val="nil"/>
              <w:left w:val="nil"/>
              <w:bottom w:val="single" w:sz="4" w:space="0" w:color="auto"/>
              <w:right w:val="single" w:sz="8" w:space="0" w:color="auto"/>
            </w:tcBorders>
            <w:shd w:val="clear" w:color="auto" w:fill="auto"/>
            <w:vAlign w:val="center"/>
            <w:hideMark/>
          </w:tcPr>
          <w:p w14:paraId="26F1077E"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0.39%</w:t>
            </w:r>
          </w:p>
        </w:tc>
      </w:tr>
      <w:tr w:rsidR="00050BAC" w:rsidRPr="00050BAC" w14:paraId="636E3DF3"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68BD1361"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w:t>
            </w:r>
          </w:p>
        </w:tc>
        <w:tc>
          <w:tcPr>
            <w:tcW w:w="406" w:type="pct"/>
            <w:tcBorders>
              <w:top w:val="nil"/>
              <w:left w:val="nil"/>
              <w:bottom w:val="single" w:sz="4" w:space="0" w:color="auto"/>
              <w:right w:val="single" w:sz="8" w:space="0" w:color="auto"/>
            </w:tcBorders>
            <w:shd w:val="clear" w:color="auto" w:fill="auto"/>
            <w:vAlign w:val="center"/>
            <w:hideMark/>
          </w:tcPr>
          <w:p w14:paraId="389D5DDC"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Development</w:t>
            </w:r>
          </w:p>
        </w:tc>
        <w:tc>
          <w:tcPr>
            <w:tcW w:w="558" w:type="pct"/>
            <w:tcBorders>
              <w:top w:val="nil"/>
              <w:left w:val="nil"/>
              <w:bottom w:val="single" w:sz="4" w:space="0" w:color="auto"/>
              <w:right w:val="single" w:sz="8" w:space="0" w:color="auto"/>
            </w:tcBorders>
            <w:shd w:val="clear" w:color="auto" w:fill="auto"/>
            <w:vAlign w:val="center"/>
            <w:hideMark/>
          </w:tcPr>
          <w:p w14:paraId="082690CD"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33,800,000.00 </w:t>
            </w:r>
          </w:p>
        </w:tc>
        <w:tc>
          <w:tcPr>
            <w:tcW w:w="569" w:type="pct"/>
            <w:tcBorders>
              <w:top w:val="nil"/>
              <w:left w:val="nil"/>
              <w:bottom w:val="single" w:sz="4" w:space="0" w:color="auto"/>
              <w:right w:val="single" w:sz="8" w:space="0" w:color="auto"/>
            </w:tcBorders>
            <w:shd w:val="clear" w:color="auto" w:fill="auto"/>
            <w:vAlign w:val="center"/>
            <w:hideMark/>
          </w:tcPr>
          <w:p w14:paraId="4A8DADB6"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63,800,000.00 </w:t>
            </w:r>
          </w:p>
        </w:tc>
        <w:tc>
          <w:tcPr>
            <w:tcW w:w="522" w:type="pct"/>
            <w:tcBorders>
              <w:top w:val="nil"/>
              <w:left w:val="nil"/>
              <w:bottom w:val="single" w:sz="4" w:space="0" w:color="auto"/>
              <w:right w:val="single" w:sz="8" w:space="0" w:color="auto"/>
            </w:tcBorders>
            <w:shd w:val="clear" w:color="auto" w:fill="auto"/>
            <w:vAlign w:val="center"/>
            <w:hideMark/>
          </w:tcPr>
          <w:p w14:paraId="384E0386"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65,714,000.00 </w:t>
            </w:r>
          </w:p>
        </w:tc>
        <w:tc>
          <w:tcPr>
            <w:tcW w:w="469" w:type="pct"/>
            <w:tcBorders>
              <w:top w:val="nil"/>
              <w:left w:val="nil"/>
              <w:bottom w:val="single" w:sz="4" w:space="0" w:color="auto"/>
              <w:right w:val="nil"/>
            </w:tcBorders>
            <w:shd w:val="clear" w:color="auto" w:fill="auto"/>
            <w:vAlign w:val="center"/>
            <w:hideMark/>
          </w:tcPr>
          <w:p w14:paraId="23E9EE71"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67,685,420.00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606D38D2"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0.32%</w:t>
            </w:r>
          </w:p>
        </w:tc>
        <w:tc>
          <w:tcPr>
            <w:tcW w:w="332" w:type="pct"/>
            <w:tcBorders>
              <w:top w:val="nil"/>
              <w:left w:val="nil"/>
              <w:bottom w:val="single" w:sz="4" w:space="0" w:color="auto"/>
              <w:right w:val="single" w:sz="8" w:space="0" w:color="auto"/>
            </w:tcBorders>
            <w:shd w:val="clear" w:color="auto" w:fill="auto"/>
            <w:vAlign w:val="center"/>
            <w:hideMark/>
          </w:tcPr>
          <w:p w14:paraId="5929ACF9"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0.61%</w:t>
            </w:r>
          </w:p>
        </w:tc>
        <w:tc>
          <w:tcPr>
            <w:tcW w:w="321" w:type="pct"/>
            <w:tcBorders>
              <w:top w:val="nil"/>
              <w:left w:val="nil"/>
              <w:bottom w:val="single" w:sz="4" w:space="0" w:color="auto"/>
              <w:right w:val="single" w:sz="8" w:space="0" w:color="auto"/>
            </w:tcBorders>
            <w:shd w:val="clear" w:color="auto" w:fill="auto"/>
            <w:vAlign w:val="center"/>
            <w:hideMark/>
          </w:tcPr>
          <w:p w14:paraId="2EDDC0BF"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0.59%</w:t>
            </w:r>
          </w:p>
        </w:tc>
        <w:tc>
          <w:tcPr>
            <w:tcW w:w="290" w:type="pct"/>
            <w:tcBorders>
              <w:top w:val="nil"/>
              <w:left w:val="nil"/>
              <w:bottom w:val="single" w:sz="4" w:space="0" w:color="auto"/>
              <w:right w:val="single" w:sz="8" w:space="0" w:color="auto"/>
            </w:tcBorders>
            <w:shd w:val="clear" w:color="auto" w:fill="auto"/>
            <w:vAlign w:val="center"/>
            <w:hideMark/>
          </w:tcPr>
          <w:p w14:paraId="0C3835A2"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0.59%</w:t>
            </w:r>
          </w:p>
        </w:tc>
      </w:tr>
      <w:tr w:rsidR="00050BAC" w:rsidRPr="00050BAC" w14:paraId="13CE4099" w14:textId="77777777" w:rsidTr="00050BAC">
        <w:trPr>
          <w:trHeight w:val="330"/>
        </w:trPr>
        <w:tc>
          <w:tcPr>
            <w:tcW w:w="1207" w:type="pct"/>
            <w:tcBorders>
              <w:top w:val="nil"/>
              <w:left w:val="single" w:sz="8" w:space="0" w:color="auto"/>
              <w:bottom w:val="single" w:sz="8" w:space="0" w:color="auto"/>
              <w:right w:val="single" w:sz="8" w:space="0" w:color="auto"/>
            </w:tcBorders>
            <w:shd w:val="clear" w:color="auto" w:fill="auto"/>
            <w:vAlign w:val="center"/>
            <w:hideMark/>
          </w:tcPr>
          <w:p w14:paraId="174B72AA"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406" w:type="pct"/>
            <w:tcBorders>
              <w:top w:val="nil"/>
              <w:left w:val="nil"/>
              <w:bottom w:val="single" w:sz="8" w:space="0" w:color="auto"/>
              <w:right w:val="single" w:sz="8" w:space="0" w:color="auto"/>
            </w:tcBorders>
            <w:shd w:val="clear" w:color="auto" w:fill="auto"/>
            <w:vAlign w:val="center"/>
            <w:hideMark/>
          </w:tcPr>
          <w:p w14:paraId="447AA000"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Sub-Total</w:t>
            </w:r>
          </w:p>
        </w:tc>
        <w:tc>
          <w:tcPr>
            <w:tcW w:w="558" w:type="pct"/>
            <w:tcBorders>
              <w:top w:val="nil"/>
              <w:left w:val="nil"/>
              <w:bottom w:val="single" w:sz="8" w:space="0" w:color="auto"/>
              <w:right w:val="single" w:sz="8" w:space="0" w:color="auto"/>
            </w:tcBorders>
            <w:shd w:val="clear" w:color="auto" w:fill="auto"/>
            <w:vAlign w:val="center"/>
            <w:hideMark/>
          </w:tcPr>
          <w:p w14:paraId="2F58FB57"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74,900,000.00 </w:t>
            </w:r>
          </w:p>
        </w:tc>
        <w:tc>
          <w:tcPr>
            <w:tcW w:w="569" w:type="pct"/>
            <w:tcBorders>
              <w:top w:val="nil"/>
              <w:left w:val="nil"/>
              <w:bottom w:val="single" w:sz="8" w:space="0" w:color="auto"/>
              <w:right w:val="single" w:sz="8" w:space="0" w:color="auto"/>
            </w:tcBorders>
            <w:shd w:val="clear" w:color="auto" w:fill="auto"/>
            <w:vAlign w:val="center"/>
            <w:hideMark/>
          </w:tcPr>
          <w:p w14:paraId="03AEFC32"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105,722,000.00 </w:t>
            </w:r>
          </w:p>
        </w:tc>
        <w:tc>
          <w:tcPr>
            <w:tcW w:w="522" w:type="pct"/>
            <w:tcBorders>
              <w:top w:val="nil"/>
              <w:left w:val="nil"/>
              <w:bottom w:val="single" w:sz="8" w:space="0" w:color="auto"/>
              <w:right w:val="single" w:sz="8" w:space="0" w:color="auto"/>
            </w:tcBorders>
            <w:shd w:val="clear" w:color="auto" w:fill="auto"/>
            <w:vAlign w:val="center"/>
            <w:hideMark/>
          </w:tcPr>
          <w:p w14:paraId="6B0DB77E"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108,893,660.00 </w:t>
            </w:r>
          </w:p>
        </w:tc>
        <w:tc>
          <w:tcPr>
            <w:tcW w:w="469" w:type="pct"/>
            <w:tcBorders>
              <w:top w:val="nil"/>
              <w:left w:val="nil"/>
              <w:bottom w:val="single" w:sz="8" w:space="0" w:color="auto"/>
              <w:right w:val="nil"/>
            </w:tcBorders>
            <w:shd w:val="clear" w:color="auto" w:fill="auto"/>
            <w:vAlign w:val="center"/>
            <w:hideMark/>
          </w:tcPr>
          <w:p w14:paraId="084558DC"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112,160,469.80 </w:t>
            </w:r>
          </w:p>
        </w:tc>
        <w:tc>
          <w:tcPr>
            <w:tcW w:w="327" w:type="pct"/>
            <w:tcBorders>
              <w:top w:val="nil"/>
              <w:left w:val="single" w:sz="8" w:space="0" w:color="auto"/>
              <w:bottom w:val="single" w:sz="8" w:space="0" w:color="auto"/>
              <w:right w:val="single" w:sz="8" w:space="0" w:color="auto"/>
            </w:tcBorders>
            <w:shd w:val="clear" w:color="auto" w:fill="auto"/>
            <w:vAlign w:val="center"/>
            <w:hideMark/>
          </w:tcPr>
          <w:p w14:paraId="676E9B9A"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0.71%</w:t>
            </w:r>
          </w:p>
        </w:tc>
        <w:tc>
          <w:tcPr>
            <w:tcW w:w="332" w:type="pct"/>
            <w:tcBorders>
              <w:top w:val="nil"/>
              <w:left w:val="nil"/>
              <w:bottom w:val="single" w:sz="8" w:space="0" w:color="auto"/>
              <w:right w:val="single" w:sz="8" w:space="0" w:color="auto"/>
            </w:tcBorders>
            <w:shd w:val="clear" w:color="auto" w:fill="auto"/>
            <w:vAlign w:val="center"/>
            <w:hideMark/>
          </w:tcPr>
          <w:p w14:paraId="19545F2E"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1.01%</w:t>
            </w:r>
          </w:p>
        </w:tc>
        <w:tc>
          <w:tcPr>
            <w:tcW w:w="321" w:type="pct"/>
            <w:tcBorders>
              <w:top w:val="nil"/>
              <w:left w:val="nil"/>
              <w:bottom w:val="single" w:sz="8" w:space="0" w:color="auto"/>
              <w:right w:val="single" w:sz="8" w:space="0" w:color="auto"/>
            </w:tcBorders>
            <w:shd w:val="clear" w:color="auto" w:fill="auto"/>
            <w:vAlign w:val="center"/>
            <w:hideMark/>
          </w:tcPr>
          <w:p w14:paraId="54D42154"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0.98%</w:t>
            </w:r>
          </w:p>
        </w:tc>
        <w:tc>
          <w:tcPr>
            <w:tcW w:w="290" w:type="pct"/>
            <w:tcBorders>
              <w:top w:val="nil"/>
              <w:left w:val="nil"/>
              <w:bottom w:val="single" w:sz="8" w:space="0" w:color="auto"/>
              <w:right w:val="single" w:sz="8" w:space="0" w:color="auto"/>
            </w:tcBorders>
            <w:shd w:val="clear" w:color="auto" w:fill="auto"/>
            <w:vAlign w:val="center"/>
            <w:hideMark/>
          </w:tcPr>
          <w:p w14:paraId="690F8781"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0.98%</w:t>
            </w:r>
          </w:p>
        </w:tc>
      </w:tr>
    </w:tbl>
    <w:p w14:paraId="64B811A9" w14:textId="77777777" w:rsidR="00050BAC" w:rsidRDefault="00050BAC" w:rsidP="00BC4546">
      <w:pPr>
        <w:spacing w:before="9" w:after="172" w:line="276" w:lineRule="exact"/>
        <w:rPr>
          <w:rFonts w:ascii="Times New Roman" w:hAnsi="Times New Roman" w:cs="Times New Roman"/>
          <w:b/>
          <w:bCs/>
          <w:spacing w:val="1"/>
          <w:sz w:val="24"/>
          <w:szCs w:val="24"/>
        </w:rPr>
      </w:pPr>
    </w:p>
    <w:p w14:paraId="048A73F0" w14:textId="77777777" w:rsidR="00050BAC" w:rsidRDefault="00050BAC" w:rsidP="00BC4546">
      <w:pPr>
        <w:spacing w:before="9" w:after="172" w:line="276" w:lineRule="exact"/>
        <w:rPr>
          <w:rFonts w:ascii="Times New Roman" w:hAnsi="Times New Roman" w:cs="Times New Roman"/>
          <w:b/>
          <w:bCs/>
          <w:spacing w:val="1"/>
          <w:sz w:val="24"/>
          <w:szCs w:val="24"/>
        </w:rPr>
      </w:pPr>
    </w:p>
    <w:p w14:paraId="4E8E751C" w14:textId="77777777" w:rsidR="00050BAC" w:rsidRDefault="00050BAC" w:rsidP="00BC4546">
      <w:pPr>
        <w:spacing w:before="9" w:after="172" w:line="276" w:lineRule="exact"/>
        <w:rPr>
          <w:rFonts w:ascii="Times New Roman" w:hAnsi="Times New Roman" w:cs="Times New Roman"/>
          <w:b/>
          <w:bCs/>
          <w:spacing w:val="1"/>
          <w:sz w:val="24"/>
          <w:szCs w:val="24"/>
        </w:rPr>
      </w:pPr>
    </w:p>
    <w:p w14:paraId="4A2F927B" w14:textId="77777777" w:rsidR="00050BAC" w:rsidRDefault="00050BAC" w:rsidP="00BC4546">
      <w:pPr>
        <w:spacing w:before="9" w:after="172" w:line="276" w:lineRule="exact"/>
        <w:rPr>
          <w:rFonts w:ascii="Times New Roman" w:hAnsi="Times New Roman" w:cs="Times New Roman"/>
          <w:b/>
          <w:bCs/>
          <w:spacing w:val="1"/>
          <w:sz w:val="24"/>
          <w:szCs w:val="24"/>
        </w:rPr>
      </w:pPr>
    </w:p>
    <w:tbl>
      <w:tblPr>
        <w:tblW w:w="5000" w:type="pct"/>
        <w:tblLook w:val="04A0" w:firstRow="1" w:lastRow="0" w:firstColumn="1" w:lastColumn="0" w:noHBand="0" w:noVBand="1"/>
      </w:tblPr>
      <w:tblGrid>
        <w:gridCol w:w="1833"/>
        <w:gridCol w:w="1294"/>
        <w:gridCol w:w="1716"/>
        <w:gridCol w:w="1716"/>
        <w:gridCol w:w="1716"/>
        <w:gridCol w:w="1716"/>
        <w:gridCol w:w="1050"/>
        <w:gridCol w:w="966"/>
        <w:gridCol w:w="966"/>
        <w:gridCol w:w="966"/>
      </w:tblGrid>
      <w:tr w:rsidR="00050BAC" w:rsidRPr="00050BAC" w14:paraId="1B907F7C" w14:textId="77777777" w:rsidTr="00050BAC">
        <w:trPr>
          <w:trHeight w:val="330"/>
        </w:trPr>
        <w:tc>
          <w:tcPr>
            <w:tcW w:w="5000" w:type="pct"/>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0B000A1C"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County Assembly</w:t>
            </w:r>
          </w:p>
        </w:tc>
      </w:tr>
      <w:tr w:rsidR="00050BAC" w:rsidRPr="00050BAC" w14:paraId="364710E9" w14:textId="77777777" w:rsidTr="00050BAC">
        <w:trPr>
          <w:trHeight w:val="330"/>
        </w:trPr>
        <w:tc>
          <w:tcPr>
            <w:tcW w:w="1207" w:type="pct"/>
            <w:vMerge w:val="restart"/>
            <w:tcBorders>
              <w:top w:val="nil"/>
              <w:left w:val="single" w:sz="8" w:space="0" w:color="auto"/>
              <w:bottom w:val="single" w:sz="4" w:space="0" w:color="auto"/>
              <w:right w:val="single" w:sz="8" w:space="0" w:color="auto"/>
            </w:tcBorders>
            <w:shd w:val="clear" w:color="auto" w:fill="auto"/>
            <w:vAlign w:val="center"/>
            <w:hideMark/>
          </w:tcPr>
          <w:p w14:paraId="11776B14"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Departments</w:t>
            </w:r>
          </w:p>
        </w:tc>
        <w:tc>
          <w:tcPr>
            <w:tcW w:w="406" w:type="pct"/>
            <w:tcBorders>
              <w:top w:val="nil"/>
              <w:left w:val="nil"/>
              <w:bottom w:val="single" w:sz="8" w:space="0" w:color="auto"/>
              <w:right w:val="single" w:sz="8" w:space="0" w:color="auto"/>
            </w:tcBorders>
            <w:shd w:val="clear" w:color="auto" w:fill="auto"/>
            <w:vAlign w:val="center"/>
            <w:hideMark/>
          </w:tcPr>
          <w:p w14:paraId="2D538621"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558" w:type="pct"/>
            <w:tcBorders>
              <w:top w:val="nil"/>
              <w:left w:val="nil"/>
              <w:bottom w:val="single" w:sz="8" w:space="0" w:color="auto"/>
              <w:right w:val="single" w:sz="8" w:space="0" w:color="auto"/>
            </w:tcBorders>
            <w:shd w:val="clear" w:color="auto" w:fill="auto"/>
            <w:vAlign w:val="center"/>
            <w:hideMark/>
          </w:tcPr>
          <w:p w14:paraId="784D6BBD"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Revised Estimates </w:t>
            </w:r>
          </w:p>
        </w:tc>
        <w:tc>
          <w:tcPr>
            <w:tcW w:w="569" w:type="pct"/>
            <w:tcBorders>
              <w:top w:val="nil"/>
              <w:left w:val="nil"/>
              <w:bottom w:val="single" w:sz="8" w:space="0" w:color="auto"/>
              <w:right w:val="single" w:sz="8" w:space="0" w:color="auto"/>
            </w:tcBorders>
            <w:shd w:val="clear" w:color="auto" w:fill="auto"/>
            <w:vAlign w:val="center"/>
            <w:hideMark/>
          </w:tcPr>
          <w:p w14:paraId="4D2B2400"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Estimates </w:t>
            </w:r>
          </w:p>
        </w:tc>
        <w:tc>
          <w:tcPr>
            <w:tcW w:w="991" w:type="pct"/>
            <w:gridSpan w:val="2"/>
            <w:tcBorders>
              <w:top w:val="single" w:sz="8" w:space="0" w:color="auto"/>
              <w:left w:val="nil"/>
              <w:bottom w:val="single" w:sz="8" w:space="0" w:color="auto"/>
              <w:right w:val="single" w:sz="4" w:space="0" w:color="auto"/>
            </w:tcBorders>
            <w:shd w:val="clear" w:color="000000" w:fill="E2EFDA"/>
            <w:vAlign w:val="center"/>
            <w:hideMark/>
          </w:tcPr>
          <w:p w14:paraId="0B10F4E3"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Projections </w:t>
            </w:r>
          </w:p>
        </w:tc>
        <w:tc>
          <w:tcPr>
            <w:tcW w:w="327" w:type="pct"/>
            <w:tcBorders>
              <w:top w:val="nil"/>
              <w:left w:val="single" w:sz="8" w:space="0" w:color="auto"/>
              <w:bottom w:val="single" w:sz="8" w:space="0" w:color="auto"/>
              <w:right w:val="single" w:sz="8" w:space="0" w:color="auto"/>
            </w:tcBorders>
            <w:shd w:val="clear" w:color="auto" w:fill="auto"/>
            <w:vAlign w:val="center"/>
            <w:hideMark/>
          </w:tcPr>
          <w:p w14:paraId="248F569F"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Estimates </w:t>
            </w:r>
          </w:p>
        </w:tc>
        <w:tc>
          <w:tcPr>
            <w:tcW w:w="332" w:type="pct"/>
            <w:tcBorders>
              <w:top w:val="nil"/>
              <w:left w:val="nil"/>
              <w:bottom w:val="single" w:sz="8" w:space="0" w:color="auto"/>
              <w:right w:val="single" w:sz="8" w:space="0" w:color="auto"/>
            </w:tcBorders>
            <w:shd w:val="clear" w:color="auto" w:fill="auto"/>
            <w:vAlign w:val="center"/>
            <w:hideMark/>
          </w:tcPr>
          <w:p w14:paraId="29FAE768"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Ceilings</w:t>
            </w:r>
          </w:p>
        </w:tc>
        <w:tc>
          <w:tcPr>
            <w:tcW w:w="611" w:type="pct"/>
            <w:gridSpan w:val="2"/>
            <w:tcBorders>
              <w:top w:val="single" w:sz="8" w:space="0" w:color="auto"/>
              <w:left w:val="nil"/>
              <w:bottom w:val="single" w:sz="8" w:space="0" w:color="auto"/>
              <w:right w:val="single" w:sz="8" w:space="0" w:color="000000"/>
            </w:tcBorders>
            <w:shd w:val="clear" w:color="auto" w:fill="auto"/>
            <w:vAlign w:val="center"/>
            <w:hideMark/>
          </w:tcPr>
          <w:p w14:paraId="198C4BDD"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Projections </w:t>
            </w:r>
          </w:p>
        </w:tc>
      </w:tr>
      <w:tr w:rsidR="00050BAC" w:rsidRPr="00050BAC" w14:paraId="2E8A1510" w14:textId="77777777" w:rsidTr="00050BAC">
        <w:trPr>
          <w:trHeight w:val="330"/>
        </w:trPr>
        <w:tc>
          <w:tcPr>
            <w:tcW w:w="1207" w:type="pct"/>
            <w:vMerge/>
            <w:tcBorders>
              <w:top w:val="nil"/>
              <w:left w:val="single" w:sz="8" w:space="0" w:color="auto"/>
              <w:bottom w:val="single" w:sz="4" w:space="0" w:color="auto"/>
              <w:right w:val="single" w:sz="8" w:space="0" w:color="auto"/>
            </w:tcBorders>
            <w:vAlign w:val="center"/>
            <w:hideMark/>
          </w:tcPr>
          <w:p w14:paraId="5F609A40"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p>
        </w:tc>
        <w:tc>
          <w:tcPr>
            <w:tcW w:w="406" w:type="pct"/>
            <w:tcBorders>
              <w:top w:val="nil"/>
              <w:left w:val="nil"/>
              <w:bottom w:val="single" w:sz="4" w:space="0" w:color="auto"/>
              <w:right w:val="single" w:sz="8" w:space="0" w:color="auto"/>
            </w:tcBorders>
            <w:shd w:val="clear" w:color="auto" w:fill="auto"/>
            <w:vAlign w:val="center"/>
            <w:hideMark/>
          </w:tcPr>
          <w:p w14:paraId="180A80C3"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558" w:type="pct"/>
            <w:tcBorders>
              <w:top w:val="nil"/>
              <w:left w:val="nil"/>
              <w:bottom w:val="single" w:sz="8" w:space="0" w:color="auto"/>
              <w:right w:val="single" w:sz="8" w:space="0" w:color="auto"/>
            </w:tcBorders>
            <w:shd w:val="clear" w:color="auto" w:fill="auto"/>
            <w:vAlign w:val="center"/>
            <w:hideMark/>
          </w:tcPr>
          <w:p w14:paraId="65FA87D0"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2019/20 </w:t>
            </w:r>
          </w:p>
        </w:tc>
        <w:tc>
          <w:tcPr>
            <w:tcW w:w="569" w:type="pct"/>
            <w:tcBorders>
              <w:top w:val="nil"/>
              <w:left w:val="nil"/>
              <w:bottom w:val="single" w:sz="8" w:space="0" w:color="auto"/>
              <w:right w:val="single" w:sz="8" w:space="0" w:color="auto"/>
            </w:tcBorders>
            <w:shd w:val="clear" w:color="auto" w:fill="auto"/>
            <w:vAlign w:val="center"/>
            <w:hideMark/>
          </w:tcPr>
          <w:p w14:paraId="573921A2"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2020/21 </w:t>
            </w:r>
          </w:p>
        </w:tc>
        <w:tc>
          <w:tcPr>
            <w:tcW w:w="522" w:type="pct"/>
            <w:tcBorders>
              <w:top w:val="nil"/>
              <w:left w:val="nil"/>
              <w:bottom w:val="single" w:sz="8" w:space="0" w:color="auto"/>
              <w:right w:val="single" w:sz="8" w:space="0" w:color="auto"/>
            </w:tcBorders>
            <w:shd w:val="clear" w:color="auto" w:fill="auto"/>
            <w:vAlign w:val="center"/>
            <w:hideMark/>
          </w:tcPr>
          <w:p w14:paraId="45CC3358"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2021/22 </w:t>
            </w:r>
          </w:p>
        </w:tc>
        <w:tc>
          <w:tcPr>
            <w:tcW w:w="469" w:type="pct"/>
            <w:tcBorders>
              <w:top w:val="nil"/>
              <w:left w:val="nil"/>
              <w:bottom w:val="single" w:sz="8" w:space="0" w:color="auto"/>
              <w:right w:val="nil"/>
            </w:tcBorders>
            <w:shd w:val="clear" w:color="auto" w:fill="auto"/>
            <w:vAlign w:val="center"/>
            <w:hideMark/>
          </w:tcPr>
          <w:p w14:paraId="45DA9B99"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2022/23 </w:t>
            </w:r>
          </w:p>
        </w:tc>
        <w:tc>
          <w:tcPr>
            <w:tcW w:w="327" w:type="pct"/>
            <w:tcBorders>
              <w:top w:val="nil"/>
              <w:left w:val="single" w:sz="8" w:space="0" w:color="auto"/>
              <w:bottom w:val="single" w:sz="8" w:space="0" w:color="auto"/>
              <w:right w:val="single" w:sz="8" w:space="0" w:color="auto"/>
            </w:tcBorders>
            <w:shd w:val="clear" w:color="auto" w:fill="auto"/>
            <w:vAlign w:val="center"/>
            <w:hideMark/>
          </w:tcPr>
          <w:p w14:paraId="6E90143F"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2019/20 </w:t>
            </w:r>
          </w:p>
        </w:tc>
        <w:tc>
          <w:tcPr>
            <w:tcW w:w="332" w:type="pct"/>
            <w:tcBorders>
              <w:top w:val="nil"/>
              <w:left w:val="nil"/>
              <w:bottom w:val="single" w:sz="8" w:space="0" w:color="auto"/>
              <w:right w:val="single" w:sz="8" w:space="0" w:color="auto"/>
            </w:tcBorders>
            <w:shd w:val="clear" w:color="auto" w:fill="auto"/>
            <w:vAlign w:val="center"/>
            <w:hideMark/>
          </w:tcPr>
          <w:p w14:paraId="2865A2A9"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2020/21</w:t>
            </w:r>
          </w:p>
        </w:tc>
        <w:tc>
          <w:tcPr>
            <w:tcW w:w="321" w:type="pct"/>
            <w:tcBorders>
              <w:top w:val="nil"/>
              <w:left w:val="nil"/>
              <w:bottom w:val="single" w:sz="8" w:space="0" w:color="auto"/>
              <w:right w:val="single" w:sz="8" w:space="0" w:color="auto"/>
            </w:tcBorders>
            <w:shd w:val="clear" w:color="auto" w:fill="auto"/>
            <w:vAlign w:val="center"/>
            <w:hideMark/>
          </w:tcPr>
          <w:p w14:paraId="5E1DE4EA"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2021/22 </w:t>
            </w:r>
          </w:p>
        </w:tc>
        <w:tc>
          <w:tcPr>
            <w:tcW w:w="290" w:type="pct"/>
            <w:tcBorders>
              <w:top w:val="nil"/>
              <w:left w:val="nil"/>
              <w:bottom w:val="single" w:sz="8" w:space="0" w:color="auto"/>
              <w:right w:val="single" w:sz="8" w:space="0" w:color="auto"/>
            </w:tcBorders>
            <w:shd w:val="clear" w:color="auto" w:fill="auto"/>
            <w:vAlign w:val="center"/>
            <w:hideMark/>
          </w:tcPr>
          <w:p w14:paraId="3BE3D5B3" w14:textId="77777777" w:rsidR="00050BAC" w:rsidRPr="00050BAC" w:rsidRDefault="00050BAC" w:rsidP="00050BAC">
            <w:pPr>
              <w:spacing w:after="0" w:line="240" w:lineRule="auto"/>
              <w:jc w:val="right"/>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2022/23 </w:t>
            </w:r>
          </w:p>
        </w:tc>
      </w:tr>
      <w:tr w:rsidR="00050BAC" w:rsidRPr="00050BAC" w14:paraId="46DA2C28"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0256C2E9"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Meru County Revenue Board</w:t>
            </w:r>
          </w:p>
        </w:tc>
        <w:tc>
          <w:tcPr>
            <w:tcW w:w="406" w:type="pct"/>
            <w:tcBorders>
              <w:top w:val="nil"/>
              <w:left w:val="nil"/>
              <w:bottom w:val="single" w:sz="4" w:space="0" w:color="auto"/>
              <w:right w:val="single" w:sz="8" w:space="0" w:color="auto"/>
            </w:tcBorders>
            <w:shd w:val="clear" w:color="auto" w:fill="auto"/>
            <w:vAlign w:val="center"/>
            <w:hideMark/>
          </w:tcPr>
          <w:p w14:paraId="55800BAE"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Recurrent</w:t>
            </w:r>
          </w:p>
        </w:tc>
        <w:tc>
          <w:tcPr>
            <w:tcW w:w="558" w:type="pct"/>
            <w:tcBorders>
              <w:top w:val="nil"/>
              <w:left w:val="nil"/>
              <w:bottom w:val="single" w:sz="4" w:space="0" w:color="auto"/>
              <w:right w:val="single" w:sz="8" w:space="0" w:color="auto"/>
            </w:tcBorders>
            <w:shd w:val="clear" w:color="auto" w:fill="auto"/>
            <w:vAlign w:val="center"/>
            <w:hideMark/>
          </w:tcPr>
          <w:p w14:paraId="2C4D0468"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44,300,000.00 </w:t>
            </w:r>
          </w:p>
        </w:tc>
        <w:tc>
          <w:tcPr>
            <w:tcW w:w="569" w:type="pct"/>
            <w:tcBorders>
              <w:top w:val="nil"/>
              <w:left w:val="nil"/>
              <w:bottom w:val="single" w:sz="4" w:space="0" w:color="auto"/>
              <w:right w:val="single" w:sz="8" w:space="0" w:color="auto"/>
            </w:tcBorders>
            <w:shd w:val="clear" w:color="auto" w:fill="auto"/>
            <w:vAlign w:val="center"/>
            <w:hideMark/>
          </w:tcPr>
          <w:p w14:paraId="21AECD5E"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59,500,000.00 </w:t>
            </w:r>
          </w:p>
        </w:tc>
        <w:tc>
          <w:tcPr>
            <w:tcW w:w="522" w:type="pct"/>
            <w:tcBorders>
              <w:top w:val="nil"/>
              <w:left w:val="nil"/>
              <w:bottom w:val="single" w:sz="4" w:space="0" w:color="auto"/>
              <w:right w:val="single" w:sz="8" w:space="0" w:color="auto"/>
            </w:tcBorders>
            <w:shd w:val="clear" w:color="auto" w:fill="auto"/>
            <w:vAlign w:val="center"/>
            <w:hideMark/>
          </w:tcPr>
          <w:p w14:paraId="4A0962D8"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61,285,000.00 </w:t>
            </w:r>
          </w:p>
        </w:tc>
        <w:tc>
          <w:tcPr>
            <w:tcW w:w="469" w:type="pct"/>
            <w:tcBorders>
              <w:top w:val="nil"/>
              <w:left w:val="nil"/>
              <w:bottom w:val="single" w:sz="4" w:space="0" w:color="auto"/>
              <w:right w:val="nil"/>
            </w:tcBorders>
            <w:shd w:val="clear" w:color="auto" w:fill="auto"/>
            <w:vAlign w:val="center"/>
            <w:hideMark/>
          </w:tcPr>
          <w:p w14:paraId="6521CE2F"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63,123,550.00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5CEFD97C"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0.42%</w:t>
            </w:r>
          </w:p>
        </w:tc>
        <w:tc>
          <w:tcPr>
            <w:tcW w:w="332" w:type="pct"/>
            <w:tcBorders>
              <w:top w:val="nil"/>
              <w:left w:val="nil"/>
              <w:bottom w:val="single" w:sz="4" w:space="0" w:color="auto"/>
              <w:right w:val="single" w:sz="8" w:space="0" w:color="auto"/>
            </w:tcBorders>
            <w:shd w:val="clear" w:color="auto" w:fill="auto"/>
            <w:vAlign w:val="center"/>
            <w:hideMark/>
          </w:tcPr>
          <w:p w14:paraId="78773FE9"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0.57%</w:t>
            </w:r>
          </w:p>
        </w:tc>
        <w:tc>
          <w:tcPr>
            <w:tcW w:w="321" w:type="pct"/>
            <w:tcBorders>
              <w:top w:val="nil"/>
              <w:left w:val="nil"/>
              <w:bottom w:val="single" w:sz="4" w:space="0" w:color="auto"/>
              <w:right w:val="single" w:sz="8" w:space="0" w:color="auto"/>
            </w:tcBorders>
            <w:shd w:val="clear" w:color="auto" w:fill="auto"/>
            <w:vAlign w:val="center"/>
            <w:hideMark/>
          </w:tcPr>
          <w:p w14:paraId="11DBD3FE"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0.55%</w:t>
            </w:r>
          </w:p>
        </w:tc>
        <w:tc>
          <w:tcPr>
            <w:tcW w:w="290" w:type="pct"/>
            <w:tcBorders>
              <w:top w:val="nil"/>
              <w:left w:val="nil"/>
              <w:bottom w:val="single" w:sz="4" w:space="0" w:color="auto"/>
              <w:right w:val="single" w:sz="8" w:space="0" w:color="auto"/>
            </w:tcBorders>
            <w:shd w:val="clear" w:color="auto" w:fill="auto"/>
            <w:vAlign w:val="center"/>
            <w:hideMark/>
          </w:tcPr>
          <w:p w14:paraId="396084FA"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0.55%</w:t>
            </w:r>
          </w:p>
        </w:tc>
      </w:tr>
      <w:tr w:rsidR="00050BAC" w:rsidRPr="00050BAC" w14:paraId="40521C08"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3ADCE35B"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w:t>
            </w:r>
          </w:p>
        </w:tc>
        <w:tc>
          <w:tcPr>
            <w:tcW w:w="406" w:type="pct"/>
            <w:tcBorders>
              <w:top w:val="nil"/>
              <w:left w:val="nil"/>
              <w:bottom w:val="single" w:sz="4" w:space="0" w:color="auto"/>
              <w:right w:val="single" w:sz="8" w:space="0" w:color="auto"/>
            </w:tcBorders>
            <w:shd w:val="clear" w:color="auto" w:fill="auto"/>
            <w:vAlign w:val="center"/>
            <w:hideMark/>
          </w:tcPr>
          <w:p w14:paraId="470AF851"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Development</w:t>
            </w:r>
          </w:p>
        </w:tc>
        <w:tc>
          <w:tcPr>
            <w:tcW w:w="558" w:type="pct"/>
            <w:tcBorders>
              <w:top w:val="nil"/>
              <w:left w:val="nil"/>
              <w:bottom w:val="single" w:sz="4" w:space="0" w:color="auto"/>
              <w:right w:val="single" w:sz="8" w:space="0" w:color="auto"/>
            </w:tcBorders>
            <w:shd w:val="clear" w:color="auto" w:fill="auto"/>
            <w:vAlign w:val="center"/>
            <w:hideMark/>
          </w:tcPr>
          <w:p w14:paraId="0AE5289A"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   </w:t>
            </w:r>
          </w:p>
        </w:tc>
        <w:tc>
          <w:tcPr>
            <w:tcW w:w="569" w:type="pct"/>
            <w:tcBorders>
              <w:top w:val="nil"/>
              <w:left w:val="nil"/>
              <w:bottom w:val="single" w:sz="4" w:space="0" w:color="auto"/>
              <w:right w:val="single" w:sz="8" w:space="0" w:color="auto"/>
            </w:tcBorders>
            <w:shd w:val="clear" w:color="auto" w:fill="auto"/>
            <w:vAlign w:val="center"/>
            <w:hideMark/>
          </w:tcPr>
          <w:p w14:paraId="14534203"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522" w:type="pct"/>
            <w:tcBorders>
              <w:top w:val="nil"/>
              <w:left w:val="nil"/>
              <w:bottom w:val="single" w:sz="4" w:space="0" w:color="auto"/>
              <w:right w:val="single" w:sz="8" w:space="0" w:color="auto"/>
            </w:tcBorders>
            <w:shd w:val="clear" w:color="auto" w:fill="auto"/>
            <w:vAlign w:val="center"/>
            <w:hideMark/>
          </w:tcPr>
          <w:p w14:paraId="59182B0E"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   </w:t>
            </w:r>
          </w:p>
        </w:tc>
        <w:tc>
          <w:tcPr>
            <w:tcW w:w="469" w:type="pct"/>
            <w:tcBorders>
              <w:top w:val="nil"/>
              <w:left w:val="nil"/>
              <w:bottom w:val="single" w:sz="4" w:space="0" w:color="auto"/>
              <w:right w:val="nil"/>
            </w:tcBorders>
            <w:shd w:val="clear" w:color="auto" w:fill="auto"/>
            <w:vAlign w:val="center"/>
            <w:hideMark/>
          </w:tcPr>
          <w:p w14:paraId="0F389A3F"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0982146B"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w:t>
            </w:r>
          </w:p>
        </w:tc>
        <w:tc>
          <w:tcPr>
            <w:tcW w:w="332" w:type="pct"/>
            <w:tcBorders>
              <w:top w:val="nil"/>
              <w:left w:val="nil"/>
              <w:bottom w:val="single" w:sz="4" w:space="0" w:color="auto"/>
              <w:right w:val="single" w:sz="8" w:space="0" w:color="auto"/>
            </w:tcBorders>
            <w:shd w:val="clear" w:color="auto" w:fill="auto"/>
            <w:vAlign w:val="center"/>
            <w:hideMark/>
          </w:tcPr>
          <w:p w14:paraId="5E5602D1"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w:t>
            </w:r>
          </w:p>
        </w:tc>
        <w:tc>
          <w:tcPr>
            <w:tcW w:w="321" w:type="pct"/>
            <w:tcBorders>
              <w:top w:val="nil"/>
              <w:left w:val="nil"/>
              <w:bottom w:val="single" w:sz="4" w:space="0" w:color="auto"/>
              <w:right w:val="single" w:sz="8" w:space="0" w:color="auto"/>
            </w:tcBorders>
            <w:shd w:val="clear" w:color="auto" w:fill="auto"/>
            <w:vAlign w:val="center"/>
            <w:hideMark/>
          </w:tcPr>
          <w:p w14:paraId="24B703BD"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290" w:type="pct"/>
            <w:tcBorders>
              <w:top w:val="nil"/>
              <w:left w:val="nil"/>
              <w:bottom w:val="single" w:sz="4" w:space="0" w:color="auto"/>
              <w:right w:val="single" w:sz="8" w:space="0" w:color="auto"/>
            </w:tcBorders>
            <w:shd w:val="clear" w:color="auto" w:fill="auto"/>
            <w:vAlign w:val="center"/>
            <w:hideMark/>
          </w:tcPr>
          <w:p w14:paraId="1C172E26"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r>
      <w:tr w:rsidR="00050BAC" w:rsidRPr="00050BAC" w14:paraId="0A6249EF"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290A2989"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406" w:type="pct"/>
            <w:tcBorders>
              <w:top w:val="nil"/>
              <w:left w:val="nil"/>
              <w:bottom w:val="single" w:sz="4" w:space="0" w:color="auto"/>
              <w:right w:val="single" w:sz="8" w:space="0" w:color="auto"/>
            </w:tcBorders>
            <w:shd w:val="clear" w:color="auto" w:fill="auto"/>
            <w:vAlign w:val="center"/>
            <w:hideMark/>
          </w:tcPr>
          <w:p w14:paraId="05E84351"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Sub-Total</w:t>
            </w:r>
          </w:p>
        </w:tc>
        <w:tc>
          <w:tcPr>
            <w:tcW w:w="558" w:type="pct"/>
            <w:tcBorders>
              <w:top w:val="nil"/>
              <w:left w:val="nil"/>
              <w:bottom w:val="single" w:sz="4" w:space="0" w:color="auto"/>
              <w:right w:val="single" w:sz="8" w:space="0" w:color="auto"/>
            </w:tcBorders>
            <w:shd w:val="clear" w:color="auto" w:fill="auto"/>
            <w:vAlign w:val="center"/>
            <w:hideMark/>
          </w:tcPr>
          <w:p w14:paraId="3A6B2609"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44,300,000.00 </w:t>
            </w:r>
          </w:p>
        </w:tc>
        <w:tc>
          <w:tcPr>
            <w:tcW w:w="569" w:type="pct"/>
            <w:tcBorders>
              <w:top w:val="nil"/>
              <w:left w:val="nil"/>
              <w:bottom w:val="single" w:sz="4" w:space="0" w:color="auto"/>
              <w:right w:val="single" w:sz="8" w:space="0" w:color="auto"/>
            </w:tcBorders>
            <w:shd w:val="clear" w:color="auto" w:fill="auto"/>
            <w:vAlign w:val="center"/>
            <w:hideMark/>
          </w:tcPr>
          <w:p w14:paraId="3B9EF62B"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59,500,000.00 </w:t>
            </w:r>
          </w:p>
        </w:tc>
        <w:tc>
          <w:tcPr>
            <w:tcW w:w="522" w:type="pct"/>
            <w:tcBorders>
              <w:top w:val="nil"/>
              <w:left w:val="nil"/>
              <w:bottom w:val="single" w:sz="4" w:space="0" w:color="auto"/>
              <w:right w:val="single" w:sz="8" w:space="0" w:color="auto"/>
            </w:tcBorders>
            <w:shd w:val="clear" w:color="auto" w:fill="auto"/>
            <w:vAlign w:val="center"/>
            <w:hideMark/>
          </w:tcPr>
          <w:p w14:paraId="5C56B3B9"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61,285,000.00 </w:t>
            </w:r>
          </w:p>
        </w:tc>
        <w:tc>
          <w:tcPr>
            <w:tcW w:w="469" w:type="pct"/>
            <w:tcBorders>
              <w:top w:val="nil"/>
              <w:left w:val="nil"/>
              <w:bottom w:val="single" w:sz="4" w:space="0" w:color="auto"/>
              <w:right w:val="nil"/>
            </w:tcBorders>
            <w:shd w:val="clear" w:color="auto" w:fill="auto"/>
            <w:vAlign w:val="center"/>
            <w:hideMark/>
          </w:tcPr>
          <w:p w14:paraId="0539B3D3"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63,123,550.00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11B4638C"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0.42%</w:t>
            </w:r>
          </w:p>
        </w:tc>
        <w:tc>
          <w:tcPr>
            <w:tcW w:w="332" w:type="pct"/>
            <w:tcBorders>
              <w:top w:val="nil"/>
              <w:left w:val="nil"/>
              <w:bottom w:val="single" w:sz="4" w:space="0" w:color="auto"/>
              <w:right w:val="single" w:sz="8" w:space="0" w:color="auto"/>
            </w:tcBorders>
            <w:shd w:val="clear" w:color="auto" w:fill="auto"/>
            <w:vAlign w:val="center"/>
            <w:hideMark/>
          </w:tcPr>
          <w:p w14:paraId="505BA6AF"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0.57%</w:t>
            </w:r>
          </w:p>
        </w:tc>
        <w:tc>
          <w:tcPr>
            <w:tcW w:w="321" w:type="pct"/>
            <w:tcBorders>
              <w:top w:val="nil"/>
              <w:left w:val="nil"/>
              <w:bottom w:val="single" w:sz="4" w:space="0" w:color="auto"/>
              <w:right w:val="single" w:sz="8" w:space="0" w:color="auto"/>
            </w:tcBorders>
            <w:shd w:val="clear" w:color="auto" w:fill="auto"/>
            <w:vAlign w:val="center"/>
            <w:hideMark/>
          </w:tcPr>
          <w:p w14:paraId="67166396"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0.55%</w:t>
            </w:r>
          </w:p>
        </w:tc>
        <w:tc>
          <w:tcPr>
            <w:tcW w:w="290" w:type="pct"/>
            <w:tcBorders>
              <w:top w:val="nil"/>
              <w:left w:val="nil"/>
              <w:bottom w:val="single" w:sz="4" w:space="0" w:color="auto"/>
              <w:right w:val="single" w:sz="8" w:space="0" w:color="auto"/>
            </w:tcBorders>
            <w:shd w:val="clear" w:color="auto" w:fill="auto"/>
            <w:vAlign w:val="center"/>
            <w:hideMark/>
          </w:tcPr>
          <w:p w14:paraId="60F74D6D"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0.55%</w:t>
            </w:r>
          </w:p>
        </w:tc>
      </w:tr>
      <w:tr w:rsidR="00050BAC" w:rsidRPr="00050BAC" w14:paraId="534AFB43" w14:textId="77777777" w:rsidTr="00050BAC">
        <w:trPr>
          <w:trHeight w:val="315"/>
        </w:trPr>
        <w:tc>
          <w:tcPr>
            <w:tcW w:w="1207" w:type="pct"/>
            <w:tcBorders>
              <w:top w:val="nil"/>
              <w:left w:val="single" w:sz="8" w:space="0" w:color="auto"/>
              <w:bottom w:val="single" w:sz="4" w:space="0" w:color="auto"/>
              <w:right w:val="single" w:sz="8" w:space="0" w:color="auto"/>
            </w:tcBorders>
            <w:shd w:val="clear" w:color="auto" w:fill="auto"/>
            <w:vAlign w:val="center"/>
            <w:hideMark/>
          </w:tcPr>
          <w:p w14:paraId="77BB088C"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Meru County Investment Corporation</w:t>
            </w:r>
          </w:p>
        </w:tc>
        <w:tc>
          <w:tcPr>
            <w:tcW w:w="406" w:type="pct"/>
            <w:tcBorders>
              <w:top w:val="nil"/>
              <w:left w:val="nil"/>
              <w:bottom w:val="single" w:sz="4" w:space="0" w:color="auto"/>
              <w:right w:val="single" w:sz="8" w:space="0" w:color="auto"/>
            </w:tcBorders>
            <w:shd w:val="clear" w:color="auto" w:fill="auto"/>
            <w:vAlign w:val="center"/>
            <w:hideMark/>
          </w:tcPr>
          <w:p w14:paraId="5D43E1F0"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Recurrent</w:t>
            </w:r>
          </w:p>
        </w:tc>
        <w:tc>
          <w:tcPr>
            <w:tcW w:w="558" w:type="pct"/>
            <w:tcBorders>
              <w:top w:val="nil"/>
              <w:left w:val="nil"/>
              <w:bottom w:val="single" w:sz="4" w:space="0" w:color="auto"/>
              <w:right w:val="single" w:sz="8" w:space="0" w:color="auto"/>
            </w:tcBorders>
            <w:shd w:val="clear" w:color="auto" w:fill="auto"/>
            <w:vAlign w:val="center"/>
            <w:hideMark/>
          </w:tcPr>
          <w:p w14:paraId="103F906D"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50,608,454.00 </w:t>
            </w:r>
          </w:p>
        </w:tc>
        <w:tc>
          <w:tcPr>
            <w:tcW w:w="569" w:type="pct"/>
            <w:tcBorders>
              <w:top w:val="nil"/>
              <w:left w:val="nil"/>
              <w:bottom w:val="single" w:sz="4" w:space="0" w:color="auto"/>
              <w:right w:val="single" w:sz="8" w:space="0" w:color="auto"/>
            </w:tcBorders>
            <w:shd w:val="clear" w:color="auto" w:fill="auto"/>
            <w:vAlign w:val="center"/>
            <w:hideMark/>
          </w:tcPr>
          <w:p w14:paraId="71947013"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47,644,212.00 </w:t>
            </w:r>
          </w:p>
        </w:tc>
        <w:tc>
          <w:tcPr>
            <w:tcW w:w="522" w:type="pct"/>
            <w:tcBorders>
              <w:top w:val="nil"/>
              <w:left w:val="nil"/>
              <w:bottom w:val="single" w:sz="4" w:space="0" w:color="auto"/>
              <w:right w:val="single" w:sz="8" w:space="0" w:color="auto"/>
            </w:tcBorders>
            <w:shd w:val="clear" w:color="auto" w:fill="auto"/>
            <w:vAlign w:val="center"/>
            <w:hideMark/>
          </w:tcPr>
          <w:p w14:paraId="669C77DE"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49,073,538.36 </w:t>
            </w:r>
          </w:p>
        </w:tc>
        <w:tc>
          <w:tcPr>
            <w:tcW w:w="469" w:type="pct"/>
            <w:tcBorders>
              <w:top w:val="nil"/>
              <w:left w:val="nil"/>
              <w:bottom w:val="single" w:sz="4" w:space="0" w:color="auto"/>
              <w:right w:val="nil"/>
            </w:tcBorders>
            <w:shd w:val="clear" w:color="auto" w:fill="auto"/>
            <w:vAlign w:val="center"/>
            <w:hideMark/>
          </w:tcPr>
          <w:p w14:paraId="1BAF804E"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50,545,744.51 </w:t>
            </w:r>
          </w:p>
        </w:tc>
        <w:tc>
          <w:tcPr>
            <w:tcW w:w="327" w:type="pct"/>
            <w:tcBorders>
              <w:top w:val="nil"/>
              <w:left w:val="single" w:sz="8" w:space="0" w:color="auto"/>
              <w:bottom w:val="single" w:sz="4" w:space="0" w:color="auto"/>
              <w:right w:val="single" w:sz="8" w:space="0" w:color="auto"/>
            </w:tcBorders>
            <w:shd w:val="clear" w:color="auto" w:fill="auto"/>
            <w:vAlign w:val="center"/>
            <w:hideMark/>
          </w:tcPr>
          <w:p w14:paraId="36D9DF18"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0.48%</w:t>
            </w:r>
          </w:p>
        </w:tc>
        <w:tc>
          <w:tcPr>
            <w:tcW w:w="332" w:type="pct"/>
            <w:tcBorders>
              <w:top w:val="nil"/>
              <w:left w:val="nil"/>
              <w:bottom w:val="single" w:sz="4" w:space="0" w:color="auto"/>
              <w:right w:val="single" w:sz="8" w:space="0" w:color="auto"/>
            </w:tcBorders>
            <w:shd w:val="clear" w:color="auto" w:fill="auto"/>
            <w:vAlign w:val="center"/>
            <w:hideMark/>
          </w:tcPr>
          <w:p w14:paraId="5F505C61"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0.46%</w:t>
            </w:r>
          </w:p>
        </w:tc>
        <w:tc>
          <w:tcPr>
            <w:tcW w:w="321" w:type="pct"/>
            <w:tcBorders>
              <w:top w:val="nil"/>
              <w:left w:val="nil"/>
              <w:bottom w:val="single" w:sz="4" w:space="0" w:color="auto"/>
              <w:right w:val="single" w:sz="8" w:space="0" w:color="auto"/>
            </w:tcBorders>
            <w:shd w:val="clear" w:color="auto" w:fill="auto"/>
            <w:vAlign w:val="center"/>
            <w:hideMark/>
          </w:tcPr>
          <w:p w14:paraId="28F4EC14"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0.44%</w:t>
            </w:r>
          </w:p>
        </w:tc>
        <w:tc>
          <w:tcPr>
            <w:tcW w:w="290" w:type="pct"/>
            <w:tcBorders>
              <w:top w:val="nil"/>
              <w:left w:val="nil"/>
              <w:bottom w:val="single" w:sz="4" w:space="0" w:color="auto"/>
              <w:right w:val="single" w:sz="8" w:space="0" w:color="auto"/>
            </w:tcBorders>
            <w:shd w:val="clear" w:color="auto" w:fill="auto"/>
            <w:vAlign w:val="center"/>
            <w:hideMark/>
          </w:tcPr>
          <w:p w14:paraId="571171E3"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0.44%</w:t>
            </w:r>
          </w:p>
        </w:tc>
      </w:tr>
      <w:tr w:rsidR="00050BAC" w:rsidRPr="00050BAC" w14:paraId="61F2F867" w14:textId="77777777" w:rsidTr="00050BAC">
        <w:trPr>
          <w:trHeight w:val="315"/>
        </w:trPr>
        <w:tc>
          <w:tcPr>
            <w:tcW w:w="1207" w:type="pct"/>
            <w:tcBorders>
              <w:top w:val="nil"/>
              <w:left w:val="single" w:sz="8" w:space="0" w:color="auto"/>
              <w:bottom w:val="nil"/>
              <w:right w:val="single" w:sz="8" w:space="0" w:color="auto"/>
            </w:tcBorders>
            <w:shd w:val="clear" w:color="auto" w:fill="auto"/>
            <w:vAlign w:val="center"/>
            <w:hideMark/>
          </w:tcPr>
          <w:p w14:paraId="7E962575"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w:t>
            </w:r>
          </w:p>
        </w:tc>
        <w:tc>
          <w:tcPr>
            <w:tcW w:w="406" w:type="pct"/>
            <w:tcBorders>
              <w:top w:val="nil"/>
              <w:left w:val="nil"/>
              <w:bottom w:val="single" w:sz="4" w:space="0" w:color="auto"/>
              <w:right w:val="single" w:sz="8" w:space="0" w:color="auto"/>
            </w:tcBorders>
            <w:shd w:val="clear" w:color="auto" w:fill="auto"/>
            <w:vAlign w:val="center"/>
            <w:hideMark/>
          </w:tcPr>
          <w:p w14:paraId="6127FDD3"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Development</w:t>
            </w:r>
          </w:p>
        </w:tc>
        <w:tc>
          <w:tcPr>
            <w:tcW w:w="558" w:type="pct"/>
            <w:tcBorders>
              <w:top w:val="nil"/>
              <w:left w:val="nil"/>
              <w:bottom w:val="nil"/>
              <w:right w:val="single" w:sz="8" w:space="0" w:color="auto"/>
            </w:tcBorders>
            <w:shd w:val="clear" w:color="auto" w:fill="auto"/>
            <w:vAlign w:val="center"/>
            <w:hideMark/>
          </w:tcPr>
          <w:p w14:paraId="56417F50"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53,000,000.00 </w:t>
            </w:r>
          </w:p>
        </w:tc>
        <w:tc>
          <w:tcPr>
            <w:tcW w:w="569" w:type="pct"/>
            <w:tcBorders>
              <w:top w:val="nil"/>
              <w:left w:val="nil"/>
              <w:bottom w:val="nil"/>
              <w:right w:val="single" w:sz="8" w:space="0" w:color="auto"/>
            </w:tcBorders>
            <w:shd w:val="clear" w:color="auto" w:fill="auto"/>
            <w:vAlign w:val="center"/>
            <w:hideMark/>
          </w:tcPr>
          <w:p w14:paraId="29BDFCFA"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   </w:t>
            </w:r>
          </w:p>
        </w:tc>
        <w:tc>
          <w:tcPr>
            <w:tcW w:w="522" w:type="pct"/>
            <w:tcBorders>
              <w:top w:val="nil"/>
              <w:left w:val="nil"/>
              <w:bottom w:val="nil"/>
              <w:right w:val="single" w:sz="8" w:space="0" w:color="auto"/>
            </w:tcBorders>
            <w:shd w:val="clear" w:color="auto" w:fill="auto"/>
            <w:vAlign w:val="center"/>
            <w:hideMark/>
          </w:tcPr>
          <w:p w14:paraId="789EBF49"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   </w:t>
            </w:r>
          </w:p>
        </w:tc>
        <w:tc>
          <w:tcPr>
            <w:tcW w:w="469" w:type="pct"/>
            <w:tcBorders>
              <w:top w:val="nil"/>
              <w:left w:val="nil"/>
              <w:bottom w:val="nil"/>
              <w:right w:val="nil"/>
            </w:tcBorders>
            <w:shd w:val="clear" w:color="auto" w:fill="auto"/>
            <w:vAlign w:val="center"/>
            <w:hideMark/>
          </w:tcPr>
          <w:p w14:paraId="7D1D43C2"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   </w:t>
            </w:r>
          </w:p>
        </w:tc>
        <w:tc>
          <w:tcPr>
            <w:tcW w:w="327" w:type="pct"/>
            <w:tcBorders>
              <w:top w:val="nil"/>
              <w:left w:val="single" w:sz="8" w:space="0" w:color="auto"/>
              <w:bottom w:val="nil"/>
              <w:right w:val="single" w:sz="8" w:space="0" w:color="auto"/>
            </w:tcBorders>
            <w:shd w:val="clear" w:color="auto" w:fill="auto"/>
            <w:vAlign w:val="center"/>
            <w:hideMark/>
          </w:tcPr>
          <w:p w14:paraId="66BD6D6C"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0.50%</w:t>
            </w:r>
          </w:p>
        </w:tc>
        <w:tc>
          <w:tcPr>
            <w:tcW w:w="332" w:type="pct"/>
            <w:tcBorders>
              <w:top w:val="nil"/>
              <w:left w:val="nil"/>
              <w:bottom w:val="nil"/>
              <w:right w:val="single" w:sz="8" w:space="0" w:color="auto"/>
            </w:tcBorders>
            <w:shd w:val="clear" w:color="auto" w:fill="auto"/>
            <w:vAlign w:val="center"/>
            <w:hideMark/>
          </w:tcPr>
          <w:p w14:paraId="0C1BC37F"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0.00%</w:t>
            </w:r>
          </w:p>
        </w:tc>
        <w:tc>
          <w:tcPr>
            <w:tcW w:w="321" w:type="pct"/>
            <w:tcBorders>
              <w:top w:val="nil"/>
              <w:left w:val="nil"/>
              <w:bottom w:val="nil"/>
              <w:right w:val="single" w:sz="8" w:space="0" w:color="auto"/>
            </w:tcBorders>
            <w:shd w:val="clear" w:color="auto" w:fill="auto"/>
            <w:vAlign w:val="center"/>
            <w:hideMark/>
          </w:tcPr>
          <w:p w14:paraId="20278AE6"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0.00%</w:t>
            </w:r>
          </w:p>
        </w:tc>
        <w:tc>
          <w:tcPr>
            <w:tcW w:w="290" w:type="pct"/>
            <w:tcBorders>
              <w:top w:val="nil"/>
              <w:left w:val="nil"/>
              <w:bottom w:val="nil"/>
              <w:right w:val="single" w:sz="8" w:space="0" w:color="auto"/>
            </w:tcBorders>
            <w:shd w:val="clear" w:color="auto" w:fill="auto"/>
            <w:vAlign w:val="center"/>
            <w:hideMark/>
          </w:tcPr>
          <w:p w14:paraId="28085008"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0.00%</w:t>
            </w:r>
          </w:p>
        </w:tc>
      </w:tr>
      <w:tr w:rsidR="00050BAC" w:rsidRPr="00050BAC" w14:paraId="79AE6D5F" w14:textId="77777777" w:rsidTr="00050BAC">
        <w:trPr>
          <w:trHeight w:val="315"/>
        </w:trPr>
        <w:tc>
          <w:tcPr>
            <w:tcW w:w="1207" w:type="pct"/>
            <w:tcBorders>
              <w:top w:val="single" w:sz="4" w:space="0" w:color="auto"/>
              <w:left w:val="single" w:sz="8" w:space="0" w:color="auto"/>
              <w:bottom w:val="nil"/>
              <w:right w:val="single" w:sz="8" w:space="0" w:color="auto"/>
            </w:tcBorders>
            <w:shd w:val="clear" w:color="auto" w:fill="auto"/>
            <w:vAlign w:val="center"/>
            <w:hideMark/>
          </w:tcPr>
          <w:p w14:paraId="41307BC8"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406" w:type="pct"/>
            <w:tcBorders>
              <w:top w:val="nil"/>
              <w:left w:val="nil"/>
              <w:bottom w:val="single" w:sz="4" w:space="0" w:color="auto"/>
              <w:right w:val="single" w:sz="8" w:space="0" w:color="auto"/>
            </w:tcBorders>
            <w:shd w:val="clear" w:color="auto" w:fill="auto"/>
            <w:vAlign w:val="center"/>
            <w:hideMark/>
          </w:tcPr>
          <w:p w14:paraId="7C0984DD"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Sub-Total</w:t>
            </w:r>
          </w:p>
        </w:tc>
        <w:tc>
          <w:tcPr>
            <w:tcW w:w="558" w:type="pct"/>
            <w:tcBorders>
              <w:top w:val="single" w:sz="4" w:space="0" w:color="auto"/>
              <w:left w:val="nil"/>
              <w:bottom w:val="nil"/>
              <w:right w:val="single" w:sz="8" w:space="0" w:color="auto"/>
            </w:tcBorders>
            <w:shd w:val="clear" w:color="auto" w:fill="auto"/>
            <w:vAlign w:val="center"/>
            <w:hideMark/>
          </w:tcPr>
          <w:p w14:paraId="143B10FE"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103,608,454.00 </w:t>
            </w:r>
          </w:p>
        </w:tc>
        <w:tc>
          <w:tcPr>
            <w:tcW w:w="569" w:type="pct"/>
            <w:tcBorders>
              <w:top w:val="single" w:sz="4" w:space="0" w:color="auto"/>
              <w:left w:val="nil"/>
              <w:bottom w:val="nil"/>
              <w:right w:val="single" w:sz="8" w:space="0" w:color="auto"/>
            </w:tcBorders>
            <w:shd w:val="clear" w:color="auto" w:fill="auto"/>
            <w:vAlign w:val="center"/>
            <w:hideMark/>
          </w:tcPr>
          <w:p w14:paraId="390799BF"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47,644,212.00 </w:t>
            </w:r>
          </w:p>
        </w:tc>
        <w:tc>
          <w:tcPr>
            <w:tcW w:w="522" w:type="pct"/>
            <w:tcBorders>
              <w:top w:val="single" w:sz="4" w:space="0" w:color="auto"/>
              <w:left w:val="nil"/>
              <w:bottom w:val="nil"/>
              <w:right w:val="single" w:sz="8" w:space="0" w:color="auto"/>
            </w:tcBorders>
            <w:shd w:val="clear" w:color="auto" w:fill="auto"/>
            <w:vAlign w:val="center"/>
            <w:hideMark/>
          </w:tcPr>
          <w:p w14:paraId="73A1F413"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49,073,538.36 </w:t>
            </w:r>
          </w:p>
        </w:tc>
        <w:tc>
          <w:tcPr>
            <w:tcW w:w="469" w:type="pct"/>
            <w:tcBorders>
              <w:top w:val="single" w:sz="4" w:space="0" w:color="auto"/>
              <w:left w:val="nil"/>
              <w:bottom w:val="nil"/>
              <w:right w:val="nil"/>
            </w:tcBorders>
            <w:shd w:val="clear" w:color="auto" w:fill="auto"/>
            <w:vAlign w:val="center"/>
            <w:hideMark/>
          </w:tcPr>
          <w:p w14:paraId="271D65E1"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50,545,744.51 </w:t>
            </w:r>
          </w:p>
        </w:tc>
        <w:tc>
          <w:tcPr>
            <w:tcW w:w="327" w:type="pct"/>
            <w:tcBorders>
              <w:top w:val="single" w:sz="4" w:space="0" w:color="auto"/>
              <w:left w:val="single" w:sz="8" w:space="0" w:color="auto"/>
              <w:bottom w:val="nil"/>
              <w:right w:val="single" w:sz="8" w:space="0" w:color="auto"/>
            </w:tcBorders>
            <w:shd w:val="clear" w:color="auto" w:fill="auto"/>
            <w:vAlign w:val="center"/>
            <w:hideMark/>
          </w:tcPr>
          <w:p w14:paraId="2DDA2EA6"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0.98%</w:t>
            </w:r>
          </w:p>
        </w:tc>
        <w:tc>
          <w:tcPr>
            <w:tcW w:w="332" w:type="pct"/>
            <w:tcBorders>
              <w:top w:val="single" w:sz="4" w:space="0" w:color="auto"/>
              <w:left w:val="nil"/>
              <w:bottom w:val="nil"/>
              <w:right w:val="single" w:sz="8" w:space="0" w:color="auto"/>
            </w:tcBorders>
            <w:shd w:val="clear" w:color="auto" w:fill="auto"/>
            <w:vAlign w:val="center"/>
            <w:hideMark/>
          </w:tcPr>
          <w:p w14:paraId="263C5BD7"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0.46%</w:t>
            </w:r>
          </w:p>
        </w:tc>
        <w:tc>
          <w:tcPr>
            <w:tcW w:w="321" w:type="pct"/>
            <w:tcBorders>
              <w:top w:val="single" w:sz="4" w:space="0" w:color="auto"/>
              <w:left w:val="nil"/>
              <w:bottom w:val="nil"/>
              <w:right w:val="single" w:sz="8" w:space="0" w:color="auto"/>
            </w:tcBorders>
            <w:shd w:val="clear" w:color="auto" w:fill="auto"/>
            <w:vAlign w:val="center"/>
            <w:hideMark/>
          </w:tcPr>
          <w:p w14:paraId="749C1028"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0.44%</w:t>
            </w:r>
          </w:p>
        </w:tc>
        <w:tc>
          <w:tcPr>
            <w:tcW w:w="290" w:type="pct"/>
            <w:tcBorders>
              <w:top w:val="single" w:sz="4" w:space="0" w:color="auto"/>
              <w:left w:val="nil"/>
              <w:bottom w:val="nil"/>
              <w:right w:val="single" w:sz="8" w:space="0" w:color="auto"/>
            </w:tcBorders>
            <w:shd w:val="clear" w:color="auto" w:fill="auto"/>
            <w:vAlign w:val="center"/>
            <w:hideMark/>
          </w:tcPr>
          <w:p w14:paraId="2224D28F"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0.44%</w:t>
            </w:r>
          </w:p>
        </w:tc>
      </w:tr>
      <w:tr w:rsidR="00050BAC" w:rsidRPr="00050BAC" w14:paraId="2D9E73B6" w14:textId="77777777" w:rsidTr="00050BAC">
        <w:trPr>
          <w:trHeight w:val="315"/>
        </w:trPr>
        <w:tc>
          <w:tcPr>
            <w:tcW w:w="1207" w:type="pct"/>
            <w:tcBorders>
              <w:top w:val="single" w:sz="4" w:space="0" w:color="auto"/>
              <w:left w:val="single" w:sz="8" w:space="0" w:color="auto"/>
              <w:bottom w:val="nil"/>
              <w:right w:val="single" w:sz="8" w:space="0" w:color="auto"/>
            </w:tcBorders>
            <w:shd w:val="clear" w:color="auto" w:fill="auto"/>
            <w:vAlign w:val="center"/>
            <w:hideMark/>
          </w:tcPr>
          <w:p w14:paraId="33A6C2E8"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Meru County Microfinance Corporation</w:t>
            </w:r>
          </w:p>
        </w:tc>
        <w:tc>
          <w:tcPr>
            <w:tcW w:w="406" w:type="pct"/>
            <w:tcBorders>
              <w:top w:val="nil"/>
              <w:left w:val="nil"/>
              <w:bottom w:val="single" w:sz="4" w:space="0" w:color="auto"/>
              <w:right w:val="single" w:sz="8" w:space="0" w:color="auto"/>
            </w:tcBorders>
            <w:shd w:val="clear" w:color="auto" w:fill="auto"/>
            <w:vAlign w:val="center"/>
            <w:hideMark/>
          </w:tcPr>
          <w:p w14:paraId="1F901F9E"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Recurrent</w:t>
            </w:r>
          </w:p>
        </w:tc>
        <w:tc>
          <w:tcPr>
            <w:tcW w:w="558" w:type="pct"/>
            <w:tcBorders>
              <w:top w:val="single" w:sz="4" w:space="0" w:color="auto"/>
              <w:left w:val="nil"/>
              <w:bottom w:val="nil"/>
              <w:right w:val="single" w:sz="8" w:space="0" w:color="auto"/>
            </w:tcBorders>
            <w:shd w:val="clear" w:color="auto" w:fill="auto"/>
            <w:vAlign w:val="center"/>
            <w:hideMark/>
          </w:tcPr>
          <w:p w14:paraId="7719A1FF"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58,752,212.00 </w:t>
            </w:r>
          </w:p>
        </w:tc>
        <w:tc>
          <w:tcPr>
            <w:tcW w:w="569" w:type="pct"/>
            <w:tcBorders>
              <w:top w:val="single" w:sz="4" w:space="0" w:color="auto"/>
              <w:left w:val="nil"/>
              <w:bottom w:val="nil"/>
              <w:right w:val="single" w:sz="8" w:space="0" w:color="auto"/>
            </w:tcBorders>
            <w:shd w:val="clear" w:color="auto" w:fill="auto"/>
            <w:vAlign w:val="center"/>
            <w:hideMark/>
          </w:tcPr>
          <w:p w14:paraId="2D68BD48"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47,277,344.72 </w:t>
            </w:r>
          </w:p>
        </w:tc>
        <w:tc>
          <w:tcPr>
            <w:tcW w:w="522" w:type="pct"/>
            <w:tcBorders>
              <w:top w:val="single" w:sz="4" w:space="0" w:color="auto"/>
              <w:left w:val="nil"/>
              <w:bottom w:val="nil"/>
              <w:right w:val="single" w:sz="8" w:space="0" w:color="auto"/>
            </w:tcBorders>
            <w:shd w:val="clear" w:color="auto" w:fill="auto"/>
            <w:vAlign w:val="center"/>
            <w:hideMark/>
          </w:tcPr>
          <w:p w14:paraId="2632408F"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48,695,665.06 </w:t>
            </w:r>
          </w:p>
        </w:tc>
        <w:tc>
          <w:tcPr>
            <w:tcW w:w="469" w:type="pct"/>
            <w:tcBorders>
              <w:top w:val="single" w:sz="4" w:space="0" w:color="auto"/>
              <w:left w:val="nil"/>
              <w:bottom w:val="nil"/>
              <w:right w:val="nil"/>
            </w:tcBorders>
            <w:shd w:val="clear" w:color="auto" w:fill="auto"/>
            <w:vAlign w:val="center"/>
            <w:hideMark/>
          </w:tcPr>
          <w:p w14:paraId="70E379C6"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50,156,535.01 </w:t>
            </w:r>
          </w:p>
        </w:tc>
        <w:tc>
          <w:tcPr>
            <w:tcW w:w="327" w:type="pct"/>
            <w:tcBorders>
              <w:top w:val="single" w:sz="4" w:space="0" w:color="auto"/>
              <w:left w:val="single" w:sz="8" w:space="0" w:color="auto"/>
              <w:bottom w:val="nil"/>
              <w:right w:val="single" w:sz="8" w:space="0" w:color="auto"/>
            </w:tcBorders>
            <w:shd w:val="clear" w:color="auto" w:fill="auto"/>
            <w:vAlign w:val="center"/>
            <w:hideMark/>
          </w:tcPr>
          <w:p w14:paraId="61C39A3D"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0.55%</w:t>
            </w:r>
          </w:p>
        </w:tc>
        <w:tc>
          <w:tcPr>
            <w:tcW w:w="332" w:type="pct"/>
            <w:tcBorders>
              <w:top w:val="single" w:sz="4" w:space="0" w:color="auto"/>
              <w:left w:val="nil"/>
              <w:bottom w:val="nil"/>
              <w:right w:val="single" w:sz="8" w:space="0" w:color="auto"/>
            </w:tcBorders>
            <w:shd w:val="clear" w:color="auto" w:fill="auto"/>
            <w:vAlign w:val="center"/>
            <w:hideMark/>
          </w:tcPr>
          <w:p w14:paraId="2800F300"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0.45%</w:t>
            </w:r>
          </w:p>
        </w:tc>
        <w:tc>
          <w:tcPr>
            <w:tcW w:w="321" w:type="pct"/>
            <w:tcBorders>
              <w:top w:val="single" w:sz="4" w:space="0" w:color="auto"/>
              <w:left w:val="nil"/>
              <w:bottom w:val="nil"/>
              <w:right w:val="single" w:sz="8" w:space="0" w:color="auto"/>
            </w:tcBorders>
            <w:shd w:val="clear" w:color="auto" w:fill="auto"/>
            <w:vAlign w:val="center"/>
            <w:hideMark/>
          </w:tcPr>
          <w:p w14:paraId="4776FC80"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0.44%</w:t>
            </w:r>
          </w:p>
        </w:tc>
        <w:tc>
          <w:tcPr>
            <w:tcW w:w="290" w:type="pct"/>
            <w:tcBorders>
              <w:top w:val="single" w:sz="4" w:space="0" w:color="auto"/>
              <w:left w:val="nil"/>
              <w:bottom w:val="nil"/>
              <w:right w:val="single" w:sz="8" w:space="0" w:color="auto"/>
            </w:tcBorders>
            <w:shd w:val="clear" w:color="auto" w:fill="auto"/>
            <w:vAlign w:val="center"/>
            <w:hideMark/>
          </w:tcPr>
          <w:p w14:paraId="3AC18880"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0.44%</w:t>
            </w:r>
          </w:p>
        </w:tc>
      </w:tr>
      <w:tr w:rsidR="00050BAC" w:rsidRPr="00050BAC" w14:paraId="0C22A035" w14:textId="77777777" w:rsidTr="00050BAC">
        <w:trPr>
          <w:trHeight w:val="315"/>
        </w:trPr>
        <w:tc>
          <w:tcPr>
            <w:tcW w:w="1207" w:type="pct"/>
            <w:tcBorders>
              <w:top w:val="single" w:sz="4" w:space="0" w:color="auto"/>
              <w:left w:val="single" w:sz="8" w:space="0" w:color="auto"/>
              <w:bottom w:val="nil"/>
              <w:right w:val="single" w:sz="8" w:space="0" w:color="auto"/>
            </w:tcBorders>
            <w:shd w:val="clear" w:color="auto" w:fill="auto"/>
            <w:vAlign w:val="center"/>
            <w:hideMark/>
          </w:tcPr>
          <w:p w14:paraId="32C9E575"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w:t>
            </w:r>
          </w:p>
        </w:tc>
        <w:tc>
          <w:tcPr>
            <w:tcW w:w="406" w:type="pct"/>
            <w:tcBorders>
              <w:top w:val="nil"/>
              <w:left w:val="nil"/>
              <w:bottom w:val="single" w:sz="4" w:space="0" w:color="auto"/>
              <w:right w:val="single" w:sz="8" w:space="0" w:color="auto"/>
            </w:tcBorders>
            <w:shd w:val="clear" w:color="auto" w:fill="auto"/>
            <w:vAlign w:val="center"/>
            <w:hideMark/>
          </w:tcPr>
          <w:p w14:paraId="06749944"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Development</w:t>
            </w:r>
          </w:p>
        </w:tc>
        <w:tc>
          <w:tcPr>
            <w:tcW w:w="558" w:type="pct"/>
            <w:tcBorders>
              <w:top w:val="single" w:sz="4" w:space="0" w:color="auto"/>
              <w:left w:val="nil"/>
              <w:bottom w:val="nil"/>
              <w:right w:val="single" w:sz="8" w:space="0" w:color="auto"/>
            </w:tcBorders>
            <w:shd w:val="clear" w:color="auto" w:fill="auto"/>
            <w:vAlign w:val="center"/>
            <w:hideMark/>
          </w:tcPr>
          <w:p w14:paraId="42287E6D"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50,000,000.00 </w:t>
            </w:r>
          </w:p>
        </w:tc>
        <w:tc>
          <w:tcPr>
            <w:tcW w:w="569" w:type="pct"/>
            <w:tcBorders>
              <w:top w:val="single" w:sz="4" w:space="0" w:color="auto"/>
              <w:left w:val="nil"/>
              <w:bottom w:val="nil"/>
              <w:right w:val="single" w:sz="8" w:space="0" w:color="auto"/>
            </w:tcBorders>
            <w:shd w:val="clear" w:color="auto" w:fill="auto"/>
            <w:vAlign w:val="center"/>
            <w:hideMark/>
          </w:tcPr>
          <w:p w14:paraId="2686E255"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   </w:t>
            </w:r>
          </w:p>
        </w:tc>
        <w:tc>
          <w:tcPr>
            <w:tcW w:w="522" w:type="pct"/>
            <w:tcBorders>
              <w:top w:val="single" w:sz="4" w:space="0" w:color="auto"/>
              <w:left w:val="nil"/>
              <w:bottom w:val="nil"/>
              <w:right w:val="single" w:sz="8" w:space="0" w:color="auto"/>
            </w:tcBorders>
            <w:shd w:val="clear" w:color="auto" w:fill="auto"/>
            <w:vAlign w:val="center"/>
            <w:hideMark/>
          </w:tcPr>
          <w:p w14:paraId="1FA59C57"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   </w:t>
            </w:r>
          </w:p>
        </w:tc>
        <w:tc>
          <w:tcPr>
            <w:tcW w:w="469" w:type="pct"/>
            <w:tcBorders>
              <w:top w:val="single" w:sz="4" w:space="0" w:color="auto"/>
              <w:left w:val="nil"/>
              <w:bottom w:val="nil"/>
              <w:right w:val="nil"/>
            </w:tcBorders>
            <w:shd w:val="clear" w:color="auto" w:fill="auto"/>
            <w:vAlign w:val="center"/>
            <w:hideMark/>
          </w:tcPr>
          <w:p w14:paraId="2F6B77B2" w14:textId="77777777" w:rsidR="00050BAC" w:rsidRPr="00050BAC" w:rsidRDefault="00050BAC" w:rsidP="00050BAC">
            <w:pPr>
              <w:spacing w:after="0" w:line="240" w:lineRule="auto"/>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 xml:space="preserve">                                 -   </w:t>
            </w:r>
          </w:p>
        </w:tc>
        <w:tc>
          <w:tcPr>
            <w:tcW w:w="327" w:type="pct"/>
            <w:tcBorders>
              <w:top w:val="single" w:sz="4" w:space="0" w:color="auto"/>
              <w:left w:val="single" w:sz="8" w:space="0" w:color="auto"/>
              <w:bottom w:val="nil"/>
              <w:right w:val="single" w:sz="8" w:space="0" w:color="auto"/>
            </w:tcBorders>
            <w:shd w:val="clear" w:color="auto" w:fill="auto"/>
            <w:vAlign w:val="center"/>
            <w:hideMark/>
          </w:tcPr>
          <w:p w14:paraId="48DBA315"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0.47%</w:t>
            </w:r>
          </w:p>
        </w:tc>
        <w:tc>
          <w:tcPr>
            <w:tcW w:w="332" w:type="pct"/>
            <w:tcBorders>
              <w:top w:val="single" w:sz="4" w:space="0" w:color="auto"/>
              <w:left w:val="nil"/>
              <w:bottom w:val="nil"/>
              <w:right w:val="single" w:sz="8" w:space="0" w:color="auto"/>
            </w:tcBorders>
            <w:shd w:val="clear" w:color="auto" w:fill="auto"/>
            <w:vAlign w:val="center"/>
            <w:hideMark/>
          </w:tcPr>
          <w:p w14:paraId="2D0C380B"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0.00%</w:t>
            </w:r>
          </w:p>
        </w:tc>
        <w:tc>
          <w:tcPr>
            <w:tcW w:w="321" w:type="pct"/>
            <w:tcBorders>
              <w:top w:val="single" w:sz="4" w:space="0" w:color="auto"/>
              <w:left w:val="nil"/>
              <w:bottom w:val="nil"/>
              <w:right w:val="single" w:sz="8" w:space="0" w:color="auto"/>
            </w:tcBorders>
            <w:shd w:val="clear" w:color="auto" w:fill="auto"/>
            <w:vAlign w:val="center"/>
            <w:hideMark/>
          </w:tcPr>
          <w:p w14:paraId="48CEC88D"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0.00%</w:t>
            </w:r>
          </w:p>
        </w:tc>
        <w:tc>
          <w:tcPr>
            <w:tcW w:w="290" w:type="pct"/>
            <w:tcBorders>
              <w:top w:val="single" w:sz="4" w:space="0" w:color="auto"/>
              <w:left w:val="nil"/>
              <w:bottom w:val="nil"/>
              <w:right w:val="single" w:sz="8" w:space="0" w:color="auto"/>
            </w:tcBorders>
            <w:shd w:val="clear" w:color="auto" w:fill="auto"/>
            <w:vAlign w:val="center"/>
            <w:hideMark/>
          </w:tcPr>
          <w:p w14:paraId="3FF098CC" w14:textId="77777777" w:rsidR="00050BAC" w:rsidRPr="00050BAC" w:rsidRDefault="00050BAC" w:rsidP="00050BAC">
            <w:pPr>
              <w:spacing w:after="0" w:line="240" w:lineRule="auto"/>
              <w:jc w:val="center"/>
              <w:rPr>
                <w:rFonts w:ascii="Times New Roman" w:eastAsia="Times New Roman" w:hAnsi="Times New Roman" w:cs="Times New Roman"/>
                <w:color w:val="000000"/>
                <w:sz w:val="20"/>
                <w:szCs w:val="20"/>
              </w:rPr>
            </w:pPr>
            <w:r w:rsidRPr="00050BAC">
              <w:rPr>
                <w:rFonts w:ascii="Times New Roman" w:eastAsia="Times New Roman" w:hAnsi="Times New Roman" w:cs="Times New Roman"/>
                <w:color w:val="000000"/>
                <w:sz w:val="20"/>
                <w:szCs w:val="20"/>
              </w:rPr>
              <w:t>0.00%</w:t>
            </w:r>
          </w:p>
        </w:tc>
      </w:tr>
      <w:tr w:rsidR="00050BAC" w:rsidRPr="00050BAC" w14:paraId="6053F5FA" w14:textId="77777777" w:rsidTr="00050BAC">
        <w:trPr>
          <w:trHeight w:val="315"/>
        </w:trPr>
        <w:tc>
          <w:tcPr>
            <w:tcW w:w="1207" w:type="pct"/>
            <w:tcBorders>
              <w:top w:val="single" w:sz="4" w:space="0" w:color="auto"/>
              <w:left w:val="single" w:sz="8" w:space="0" w:color="auto"/>
              <w:bottom w:val="single" w:sz="4" w:space="0" w:color="auto"/>
              <w:right w:val="single" w:sz="8" w:space="0" w:color="auto"/>
            </w:tcBorders>
            <w:shd w:val="clear" w:color="auto" w:fill="auto"/>
            <w:vAlign w:val="center"/>
            <w:hideMark/>
          </w:tcPr>
          <w:p w14:paraId="2768B96B"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406" w:type="pct"/>
            <w:tcBorders>
              <w:top w:val="nil"/>
              <w:left w:val="nil"/>
              <w:bottom w:val="single" w:sz="4" w:space="0" w:color="auto"/>
              <w:right w:val="single" w:sz="8" w:space="0" w:color="auto"/>
            </w:tcBorders>
            <w:shd w:val="clear" w:color="auto" w:fill="auto"/>
            <w:vAlign w:val="center"/>
            <w:hideMark/>
          </w:tcPr>
          <w:p w14:paraId="779DFF21"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Sub-Total</w:t>
            </w:r>
          </w:p>
        </w:tc>
        <w:tc>
          <w:tcPr>
            <w:tcW w:w="558" w:type="pct"/>
            <w:tcBorders>
              <w:top w:val="single" w:sz="4" w:space="0" w:color="auto"/>
              <w:left w:val="nil"/>
              <w:bottom w:val="single" w:sz="4" w:space="0" w:color="auto"/>
              <w:right w:val="single" w:sz="8" w:space="0" w:color="auto"/>
            </w:tcBorders>
            <w:shd w:val="clear" w:color="auto" w:fill="auto"/>
            <w:vAlign w:val="center"/>
            <w:hideMark/>
          </w:tcPr>
          <w:p w14:paraId="03519D36"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108,752,212.00 </w:t>
            </w:r>
          </w:p>
        </w:tc>
        <w:tc>
          <w:tcPr>
            <w:tcW w:w="569" w:type="pct"/>
            <w:tcBorders>
              <w:top w:val="single" w:sz="4" w:space="0" w:color="auto"/>
              <w:left w:val="nil"/>
              <w:bottom w:val="single" w:sz="4" w:space="0" w:color="auto"/>
              <w:right w:val="single" w:sz="8" w:space="0" w:color="auto"/>
            </w:tcBorders>
            <w:shd w:val="clear" w:color="auto" w:fill="auto"/>
            <w:vAlign w:val="center"/>
            <w:hideMark/>
          </w:tcPr>
          <w:p w14:paraId="6D08DCA2"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47,277,344.72 </w:t>
            </w:r>
          </w:p>
        </w:tc>
        <w:tc>
          <w:tcPr>
            <w:tcW w:w="522" w:type="pct"/>
            <w:tcBorders>
              <w:top w:val="single" w:sz="4" w:space="0" w:color="auto"/>
              <w:left w:val="nil"/>
              <w:bottom w:val="single" w:sz="4" w:space="0" w:color="auto"/>
              <w:right w:val="single" w:sz="8" w:space="0" w:color="auto"/>
            </w:tcBorders>
            <w:shd w:val="clear" w:color="auto" w:fill="auto"/>
            <w:vAlign w:val="center"/>
            <w:hideMark/>
          </w:tcPr>
          <w:p w14:paraId="08051FA7"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48,695,665.06 </w:t>
            </w:r>
          </w:p>
        </w:tc>
        <w:tc>
          <w:tcPr>
            <w:tcW w:w="469" w:type="pct"/>
            <w:tcBorders>
              <w:top w:val="single" w:sz="4" w:space="0" w:color="auto"/>
              <w:left w:val="nil"/>
              <w:bottom w:val="single" w:sz="4" w:space="0" w:color="auto"/>
              <w:right w:val="nil"/>
            </w:tcBorders>
            <w:shd w:val="clear" w:color="auto" w:fill="auto"/>
            <w:vAlign w:val="center"/>
            <w:hideMark/>
          </w:tcPr>
          <w:p w14:paraId="479C0A2E"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50,156,535.01 </w:t>
            </w:r>
          </w:p>
        </w:tc>
        <w:tc>
          <w:tcPr>
            <w:tcW w:w="327" w:type="pct"/>
            <w:tcBorders>
              <w:top w:val="single" w:sz="4" w:space="0" w:color="auto"/>
              <w:left w:val="single" w:sz="8" w:space="0" w:color="auto"/>
              <w:bottom w:val="single" w:sz="4" w:space="0" w:color="auto"/>
              <w:right w:val="single" w:sz="8" w:space="0" w:color="auto"/>
            </w:tcBorders>
            <w:shd w:val="clear" w:color="auto" w:fill="auto"/>
            <w:vAlign w:val="center"/>
            <w:hideMark/>
          </w:tcPr>
          <w:p w14:paraId="483F6F9C"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1.03%</w:t>
            </w:r>
          </w:p>
        </w:tc>
        <w:tc>
          <w:tcPr>
            <w:tcW w:w="332" w:type="pct"/>
            <w:tcBorders>
              <w:top w:val="single" w:sz="4" w:space="0" w:color="auto"/>
              <w:left w:val="nil"/>
              <w:bottom w:val="single" w:sz="4" w:space="0" w:color="auto"/>
              <w:right w:val="single" w:sz="8" w:space="0" w:color="auto"/>
            </w:tcBorders>
            <w:shd w:val="clear" w:color="auto" w:fill="auto"/>
            <w:vAlign w:val="center"/>
            <w:hideMark/>
          </w:tcPr>
          <w:p w14:paraId="44A998E6"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0.45%</w:t>
            </w:r>
          </w:p>
        </w:tc>
        <w:tc>
          <w:tcPr>
            <w:tcW w:w="321" w:type="pct"/>
            <w:tcBorders>
              <w:top w:val="single" w:sz="4" w:space="0" w:color="auto"/>
              <w:left w:val="nil"/>
              <w:bottom w:val="single" w:sz="4" w:space="0" w:color="auto"/>
              <w:right w:val="single" w:sz="8" w:space="0" w:color="auto"/>
            </w:tcBorders>
            <w:shd w:val="clear" w:color="auto" w:fill="auto"/>
            <w:vAlign w:val="center"/>
            <w:hideMark/>
          </w:tcPr>
          <w:p w14:paraId="395B989B"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0.45%</w:t>
            </w:r>
          </w:p>
        </w:tc>
        <w:tc>
          <w:tcPr>
            <w:tcW w:w="290" w:type="pct"/>
            <w:tcBorders>
              <w:top w:val="single" w:sz="4" w:space="0" w:color="auto"/>
              <w:left w:val="nil"/>
              <w:bottom w:val="single" w:sz="4" w:space="0" w:color="auto"/>
              <w:right w:val="single" w:sz="8" w:space="0" w:color="auto"/>
            </w:tcBorders>
            <w:shd w:val="clear" w:color="auto" w:fill="auto"/>
            <w:vAlign w:val="center"/>
            <w:hideMark/>
          </w:tcPr>
          <w:p w14:paraId="09FA3F1D"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r>
      <w:tr w:rsidR="00050BAC" w:rsidRPr="00050BAC" w14:paraId="05FD324B" w14:textId="77777777" w:rsidTr="00050BAC">
        <w:trPr>
          <w:trHeight w:val="330"/>
        </w:trPr>
        <w:tc>
          <w:tcPr>
            <w:tcW w:w="1207" w:type="pct"/>
            <w:tcBorders>
              <w:top w:val="nil"/>
              <w:left w:val="single" w:sz="8" w:space="0" w:color="auto"/>
              <w:bottom w:val="nil"/>
              <w:right w:val="single" w:sz="8" w:space="0" w:color="auto"/>
            </w:tcBorders>
            <w:shd w:val="clear" w:color="auto" w:fill="auto"/>
            <w:vAlign w:val="center"/>
            <w:hideMark/>
          </w:tcPr>
          <w:p w14:paraId="10106BBD"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406" w:type="pct"/>
            <w:tcBorders>
              <w:top w:val="nil"/>
              <w:left w:val="nil"/>
              <w:bottom w:val="nil"/>
              <w:right w:val="single" w:sz="8" w:space="0" w:color="auto"/>
            </w:tcBorders>
            <w:shd w:val="clear" w:color="auto" w:fill="auto"/>
            <w:vAlign w:val="center"/>
            <w:hideMark/>
          </w:tcPr>
          <w:p w14:paraId="6101E50F"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558" w:type="pct"/>
            <w:tcBorders>
              <w:top w:val="nil"/>
              <w:left w:val="nil"/>
              <w:bottom w:val="nil"/>
              <w:right w:val="single" w:sz="8" w:space="0" w:color="auto"/>
            </w:tcBorders>
            <w:shd w:val="clear" w:color="auto" w:fill="auto"/>
            <w:vAlign w:val="center"/>
            <w:hideMark/>
          </w:tcPr>
          <w:p w14:paraId="20BD6185"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569" w:type="pct"/>
            <w:tcBorders>
              <w:top w:val="nil"/>
              <w:left w:val="nil"/>
              <w:bottom w:val="nil"/>
              <w:right w:val="single" w:sz="8" w:space="0" w:color="auto"/>
            </w:tcBorders>
            <w:shd w:val="clear" w:color="auto" w:fill="auto"/>
            <w:vAlign w:val="center"/>
            <w:hideMark/>
          </w:tcPr>
          <w:p w14:paraId="1C52E277"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522" w:type="pct"/>
            <w:tcBorders>
              <w:top w:val="nil"/>
              <w:left w:val="nil"/>
              <w:bottom w:val="nil"/>
              <w:right w:val="single" w:sz="8" w:space="0" w:color="auto"/>
            </w:tcBorders>
            <w:shd w:val="clear" w:color="auto" w:fill="auto"/>
            <w:vAlign w:val="center"/>
            <w:hideMark/>
          </w:tcPr>
          <w:p w14:paraId="32C6BD15"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469" w:type="pct"/>
            <w:tcBorders>
              <w:top w:val="nil"/>
              <w:left w:val="nil"/>
              <w:bottom w:val="nil"/>
              <w:right w:val="nil"/>
            </w:tcBorders>
            <w:shd w:val="clear" w:color="auto" w:fill="auto"/>
            <w:vAlign w:val="center"/>
            <w:hideMark/>
          </w:tcPr>
          <w:p w14:paraId="0D509DE8"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327" w:type="pct"/>
            <w:tcBorders>
              <w:top w:val="nil"/>
              <w:left w:val="single" w:sz="8" w:space="0" w:color="auto"/>
              <w:bottom w:val="nil"/>
              <w:right w:val="single" w:sz="8" w:space="0" w:color="auto"/>
            </w:tcBorders>
            <w:shd w:val="clear" w:color="auto" w:fill="auto"/>
            <w:vAlign w:val="center"/>
            <w:hideMark/>
          </w:tcPr>
          <w:p w14:paraId="68C68780"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332" w:type="pct"/>
            <w:tcBorders>
              <w:top w:val="nil"/>
              <w:left w:val="nil"/>
              <w:bottom w:val="nil"/>
              <w:right w:val="single" w:sz="8" w:space="0" w:color="auto"/>
            </w:tcBorders>
            <w:shd w:val="clear" w:color="auto" w:fill="auto"/>
            <w:vAlign w:val="center"/>
            <w:hideMark/>
          </w:tcPr>
          <w:p w14:paraId="23491883"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321" w:type="pct"/>
            <w:tcBorders>
              <w:top w:val="nil"/>
              <w:left w:val="nil"/>
              <w:bottom w:val="nil"/>
              <w:right w:val="single" w:sz="8" w:space="0" w:color="auto"/>
            </w:tcBorders>
            <w:shd w:val="clear" w:color="auto" w:fill="auto"/>
            <w:vAlign w:val="center"/>
            <w:hideMark/>
          </w:tcPr>
          <w:p w14:paraId="463E195B"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290" w:type="pct"/>
            <w:tcBorders>
              <w:top w:val="nil"/>
              <w:left w:val="nil"/>
              <w:bottom w:val="nil"/>
              <w:right w:val="single" w:sz="8" w:space="0" w:color="auto"/>
            </w:tcBorders>
            <w:shd w:val="clear" w:color="auto" w:fill="auto"/>
            <w:vAlign w:val="center"/>
            <w:hideMark/>
          </w:tcPr>
          <w:p w14:paraId="575F81A3"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r>
      <w:tr w:rsidR="00050BAC" w:rsidRPr="00050BAC" w14:paraId="54F1778B" w14:textId="77777777" w:rsidTr="00050BAC">
        <w:trPr>
          <w:trHeight w:val="330"/>
        </w:trPr>
        <w:tc>
          <w:tcPr>
            <w:tcW w:w="1207"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5D7F262F"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Recurrent Total</w:t>
            </w:r>
          </w:p>
        </w:tc>
        <w:tc>
          <w:tcPr>
            <w:tcW w:w="406" w:type="pct"/>
            <w:tcBorders>
              <w:top w:val="single" w:sz="8" w:space="0" w:color="auto"/>
              <w:left w:val="nil"/>
              <w:bottom w:val="single" w:sz="8" w:space="0" w:color="auto"/>
              <w:right w:val="single" w:sz="8" w:space="0" w:color="auto"/>
            </w:tcBorders>
            <w:shd w:val="clear" w:color="auto" w:fill="auto"/>
            <w:vAlign w:val="center"/>
            <w:hideMark/>
          </w:tcPr>
          <w:p w14:paraId="71E8C917"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558" w:type="pct"/>
            <w:tcBorders>
              <w:top w:val="single" w:sz="8" w:space="0" w:color="auto"/>
              <w:left w:val="nil"/>
              <w:bottom w:val="single" w:sz="8" w:space="0" w:color="auto"/>
              <w:right w:val="single" w:sz="8" w:space="0" w:color="auto"/>
            </w:tcBorders>
            <w:shd w:val="clear" w:color="auto" w:fill="auto"/>
            <w:vAlign w:val="center"/>
            <w:hideMark/>
          </w:tcPr>
          <w:p w14:paraId="0A776667"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7,237,365,388.00 </w:t>
            </w:r>
          </w:p>
        </w:tc>
        <w:tc>
          <w:tcPr>
            <w:tcW w:w="569" w:type="pct"/>
            <w:tcBorders>
              <w:top w:val="single" w:sz="8" w:space="0" w:color="auto"/>
              <w:left w:val="nil"/>
              <w:bottom w:val="single" w:sz="8" w:space="0" w:color="auto"/>
              <w:right w:val="single" w:sz="8" w:space="0" w:color="auto"/>
            </w:tcBorders>
            <w:shd w:val="clear" w:color="auto" w:fill="auto"/>
            <w:vAlign w:val="center"/>
            <w:hideMark/>
          </w:tcPr>
          <w:p w14:paraId="21A0383D"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7,305,691,134.35 </w:t>
            </w:r>
          </w:p>
        </w:tc>
        <w:tc>
          <w:tcPr>
            <w:tcW w:w="522" w:type="pct"/>
            <w:tcBorders>
              <w:top w:val="single" w:sz="8" w:space="0" w:color="auto"/>
              <w:left w:val="nil"/>
              <w:bottom w:val="single" w:sz="8" w:space="0" w:color="auto"/>
              <w:right w:val="single" w:sz="8" w:space="0" w:color="auto"/>
            </w:tcBorders>
            <w:shd w:val="clear" w:color="auto" w:fill="auto"/>
            <w:vAlign w:val="center"/>
            <w:hideMark/>
          </w:tcPr>
          <w:p w14:paraId="1A9A4631"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7,524,861,868.38 </w:t>
            </w:r>
          </w:p>
        </w:tc>
        <w:tc>
          <w:tcPr>
            <w:tcW w:w="469" w:type="pct"/>
            <w:tcBorders>
              <w:top w:val="single" w:sz="8" w:space="0" w:color="auto"/>
              <w:left w:val="nil"/>
              <w:bottom w:val="single" w:sz="8" w:space="0" w:color="auto"/>
              <w:right w:val="nil"/>
            </w:tcBorders>
            <w:shd w:val="clear" w:color="auto" w:fill="auto"/>
            <w:vAlign w:val="center"/>
            <w:hideMark/>
          </w:tcPr>
          <w:p w14:paraId="2B838AF6"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7,750,607,724.44 </w:t>
            </w:r>
          </w:p>
        </w:tc>
        <w:tc>
          <w:tcPr>
            <w:tcW w:w="327"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7076CBF1"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68.23%</w:t>
            </w:r>
          </w:p>
        </w:tc>
        <w:tc>
          <w:tcPr>
            <w:tcW w:w="332" w:type="pct"/>
            <w:tcBorders>
              <w:top w:val="single" w:sz="8" w:space="0" w:color="auto"/>
              <w:left w:val="nil"/>
              <w:bottom w:val="single" w:sz="8" w:space="0" w:color="auto"/>
              <w:right w:val="single" w:sz="8" w:space="0" w:color="auto"/>
            </w:tcBorders>
            <w:shd w:val="clear" w:color="auto" w:fill="auto"/>
            <w:vAlign w:val="center"/>
            <w:hideMark/>
          </w:tcPr>
          <w:p w14:paraId="187ACED2"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70.00%</w:t>
            </w:r>
          </w:p>
        </w:tc>
        <w:tc>
          <w:tcPr>
            <w:tcW w:w="321" w:type="pct"/>
            <w:tcBorders>
              <w:top w:val="single" w:sz="8" w:space="0" w:color="auto"/>
              <w:left w:val="nil"/>
              <w:bottom w:val="single" w:sz="8" w:space="0" w:color="auto"/>
              <w:right w:val="single" w:sz="8" w:space="0" w:color="auto"/>
            </w:tcBorders>
            <w:shd w:val="clear" w:color="auto" w:fill="auto"/>
            <w:vAlign w:val="center"/>
            <w:hideMark/>
          </w:tcPr>
          <w:p w14:paraId="3A5D01EA"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70.02%</w:t>
            </w:r>
          </w:p>
        </w:tc>
        <w:tc>
          <w:tcPr>
            <w:tcW w:w="290" w:type="pct"/>
            <w:tcBorders>
              <w:top w:val="single" w:sz="8" w:space="0" w:color="auto"/>
              <w:left w:val="nil"/>
              <w:bottom w:val="single" w:sz="8" w:space="0" w:color="auto"/>
              <w:right w:val="single" w:sz="8" w:space="0" w:color="auto"/>
            </w:tcBorders>
            <w:shd w:val="clear" w:color="auto" w:fill="auto"/>
            <w:vAlign w:val="center"/>
            <w:hideMark/>
          </w:tcPr>
          <w:p w14:paraId="1D1F4D9E"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69.96%</w:t>
            </w:r>
          </w:p>
        </w:tc>
      </w:tr>
      <w:tr w:rsidR="00050BAC" w:rsidRPr="00050BAC" w14:paraId="2F7B9274" w14:textId="77777777" w:rsidTr="00050BAC">
        <w:trPr>
          <w:trHeight w:val="330"/>
        </w:trPr>
        <w:tc>
          <w:tcPr>
            <w:tcW w:w="1207" w:type="pct"/>
            <w:tcBorders>
              <w:top w:val="nil"/>
              <w:left w:val="single" w:sz="8" w:space="0" w:color="auto"/>
              <w:bottom w:val="single" w:sz="8" w:space="0" w:color="auto"/>
              <w:right w:val="single" w:sz="8" w:space="0" w:color="auto"/>
            </w:tcBorders>
            <w:shd w:val="clear" w:color="auto" w:fill="auto"/>
            <w:vAlign w:val="center"/>
            <w:hideMark/>
          </w:tcPr>
          <w:p w14:paraId="4E8404D5"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Development Total</w:t>
            </w:r>
          </w:p>
        </w:tc>
        <w:tc>
          <w:tcPr>
            <w:tcW w:w="406" w:type="pct"/>
            <w:tcBorders>
              <w:top w:val="nil"/>
              <w:left w:val="nil"/>
              <w:bottom w:val="single" w:sz="8" w:space="0" w:color="auto"/>
              <w:right w:val="single" w:sz="8" w:space="0" w:color="auto"/>
            </w:tcBorders>
            <w:shd w:val="clear" w:color="auto" w:fill="auto"/>
            <w:vAlign w:val="center"/>
            <w:hideMark/>
          </w:tcPr>
          <w:p w14:paraId="39BA4A74"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558" w:type="pct"/>
            <w:tcBorders>
              <w:top w:val="nil"/>
              <w:left w:val="nil"/>
              <w:bottom w:val="single" w:sz="8" w:space="0" w:color="auto"/>
              <w:right w:val="single" w:sz="8" w:space="0" w:color="auto"/>
            </w:tcBorders>
            <w:shd w:val="clear" w:color="auto" w:fill="auto"/>
            <w:vAlign w:val="center"/>
            <w:hideMark/>
          </w:tcPr>
          <w:p w14:paraId="3AC70D45"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3,370,379,537.00 </w:t>
            </w:r>
          </w:p>
        </w:tc>
        <w:tc>
          <w:tcPr>
            <w:tcW w:w="569" w:type="pct"/>
            <w:tcBorders>
              <w:top w:val="nil"/>
              <w:left w:val="nil"/>
              <w:bottom w:val="single" w:sz="8" w:space="0" w:color="auto"/>
              <w:right w:val="single" w:sz="8" w:space="0" w:color="auto"/>
            </w:tcBorders>
            <w:shd w:val="clear" w:color="auto" w:fill="auto"/>
            <w:vAlign w:val="center"/>
            <w:hideMark/>
          </w:tcPr>
          <w:p w14:paraId="0154F4B3"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3,131,010,486.15 </w:t>
            </w:r>
          </w:p>
        </w:tc>
        <w:tc>
          <w:tcPr>
            <w:tcW w:w="522" w:type="pct"/>
            <w:tcBorders>
              <w:top w:val="nil"/>
              <w:left w:val="nil"/>
              <w:bottom w:val="single" w:sz="8" w:space="0" w:color="auto"/>
              <w:right w:val="single" w:sz="8" w:space="0" w:color="auto"/>
            </w:tcBorders>
            <w:shd w:val="clear" w:color="auto" w:fill="auto"/>
            <w:vAlign w:val="center"/>
            <w:hideMark/>
          </w:tcPr>
          <w:p w14:paraId="333C2855"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3,222,059,600.73 </w:t>
            </w:r>
          </w:p>
        </w:tc>
        <w:tc>
          <w:tcPr>
            <w:tcW w:w="469" w:type="pct"/>
            <w:tcBorders>
              <w:top w:val="nil"/>
              <w:left w:val="nil"/>
              <w:bottom w:val="single" w:sz="8" w:space="0" w:color="auto"/>
              <w:right w:val="nil"/>
            </w:tcBorders>
            <w:shd w:val="clear" w:color="auto" w:fill="auto"/>
            <w:vAlign w:val="center"/>
            <w:hideMark/>
          </w:tcPr>
          <w:p w14:paraId="25E40C4A"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3,327,516,388.76 </w:t>
            </w:r>
          </w:p>
        </w:tc>
        <w:tc>
          <w:tcPr>
            <w:tcW w:w="327" w:type="pct"/>
            <w:tcBorders>
              <w:top w:val="nil"/>
              <w:left w:val="single" w:sz="8" w:space="0" w:color="auto"/>
              <w:bottom w:val="single" w:sz="8" w:space="0" w:color="auto"/>
              <w:right w:val="single" w:sz="8" w:space="0" w:color="auto"/>
            </w:tcBorders>
            <w:shd w:val="clear" w:color="auto" w:fill="auto"/>
            <w:vAlign w:val="center"/>
            <w:hideMark/>
          </w:tcPr>
          <w:p w14:paraId="38B835D5"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31.77%</w:t>
            </w:r>
          </w:p>
        </w:tc>
        <w:tc>
          <w:tcPr>
            <w:tcW w:w="332" w:type="pct"/>
            <w:tcBorders>
              <w:top w:val="nil"/>
              <w:left w:val="nil"/>
              <w:bottom w:val="single" w:sz="8" w:space="0" w:color="auto"/>
              <w:right w:val="single" w:sz="8" w:space="0" w:color="auto"/>
            </w:tcBorders>
            <w:shd w:val="clear" w:color="auto" w:fill="auto"/>
            <w:vAlign w:val="center"/>
            <w:hideMark/>
          </w:tcPr>
          <w:p w14:paraId="0DF5FE64"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30.00%</w:t>
            </w:r>
          </w:p>
        </w:tc>
        <w:tc>
          <w:tcPr>
            <w:tcW w:w="321" w:type="pct"/>
            <w:tcBorders>
              <w:top w:val="nil"/>
              <w:left w:val="nil"/>
              <w:bottom w:val="single" w:sz="8" w:space="0" w:color="auto"/>
              <w:right w:val="single" w:sz="8" w:space="0" w:color="auto"/>
            </w:tcBorders>
            <w:shd w:val="clear" w:color="auto" w:fill="auto"/>
            <w:vAlign w:val="center"/>
            <w:hideMark/>
          </w:tcPr>
          <w:p w14:paraId="312D0192"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29.98%</w:t>
            </w:r>
          </w:p>
        </w:tc>
        <w:tc>
          <w:tcPr>
            <w:tcW w:w="290" w:type="pct"/>
            <w:tcBorders>
              <w:top w:val="nil"/>
              <w:left w:val="nil"/>
              <w:bottom w:val="single" w:sz="8" w:space="0" w:color="auto"/>
              <w:right w:val="single" w:sz="8" w:space="0" w:color="auto"/>
            </w:tcBorders>
            <w:shd w:val="clear" w:color="auto" w:fill="auto"/>
            <w:vAlign w:val="center"/>
            <w:hideMark/>
          </w:tcPr>
          <w:p w14:paraId="26A1FD35"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30.04%</w:t>
            </w:r>
          </w:p>
        </w:tc>
      </w:tr>
      <w:tr w:rsidR="00050BAC" w:rsidRPr="00050BAC" w14:paraId="378F233D" w14:textId="77777777" w:rsidTr="00050BAC">
        <w:trPr>
          <w:trHeight w:val="330"/>
        </w:trPr>
        <w:tc>
          <w:tcPr>
            <w:tcW w:w="1207" w:type="pct"/>
            <w:tcBorders>
              <w:top w:val="nil"/>
              <w:left w:val="single" w:sz="8" w:space="0" w:color="auto"/>
              <w:bottom w:val="single" w:sz="8" w:space="0" w:color="auto"/>
              <w:right w:val="single" w:sz="8" w:space="0" w:color="auto"/>
            </w:tcBorders>
            <w:shd w:val="clear" w:color="auto" w:fill="auto"/>
            <w:vAlign w:val="center"/>
            <w:hideMark/>
          </w:tcPr>
          <w:p w14:paraId="32AE2876"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Total Budget</w:t>
            </w:r>
          </w:p>
        </w:tc>
        <w:tc>
          <w:tcPr>
            <w:tcW w:w="406" w:type="pct"/>
            <w:tcBorders>
              <w:top w:val="nil"/>
              <w:left w:val="nil"/>
              <w:bottom w:val="single" w:sz="8" w:space="0" w:color="auto"/>
              <w:right w:val="single" w:sz="8" w:space="0" w:color="auto"/>
            </w:tcBorders>
            <w:shd w:val="clear" w:color="auto" w:fill="auto"/>
            <w:vAlign w:val="center"/>
            <w:hideMark/>
          </w:tcPr>
          <w:p w14:paraId="5E52F2CF"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w:t>
            </w:r>
          </w:p>
        </w:tc>
        <w:tc>
          <w:tcPr>
            <w:tcW w:w="558" w:type="pct"/>
            <w:tcBorders>
              <w:top w:val="nil"/>
              <w:left w:val="nil"/>
              <w:bottom w:val="single" w:sz="8" w:space="0" w:color="auto"/>
              <w:right w:val="single" w:sz="8" w:space="0" w:color="auto"/>
            </w:tcBorders>
            <w:shd w:val="clear" w:color="auto" w:fill="auto"/>
            <w:vAlign w:val="center"/>
            <w:hideMark/>
          </w:tcPr>
          <w:p w14:paraId="2F39D507"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10,607,744,925.00 </w:t>
            </w:r>
          </w:p>
        </w:tc>
        <w:tc>
          <w:tcPr>
            <w:tcW w:w="569" w:type="pct"/>
            <w:tcBorders>
              <w:top w:val="nil"/>
              <w:left w:val="nil"/>
              <w:bottom w:val="single" w:sz="8" w:space="0" w:color="auto"/>
              <w:right w:val="single" w:sz="8" w:space="0" w:color="auto"/>
            </w:tcBorders>
            <w:shd w:val="clear" w:color="auto" w:fill="auto"/>
            <w:vAlign w:val="center"/>
            <w:hideMark/>
          </w:tcPr>
          <w:p w14:paraId="58AE419D"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10,436,701,620.50 </w:t>
            </w:r>
          </w:p>
        </w:tc>
        <w:tc>
          <w:tcPr>
            <w:tcW w:w="522" w:type="pct"/>
            <w:tcBorders>
              <w:top w:val="nil"/>
              <w:left w:val="nil"/>
              <w:bottom w:val="single" w:sz="8" w:space="0" w:color="auto"/>
              <w:right w:val="single" w:sz="8" w:space="0" w:color="auto"/>
            </w:tcBorders>
            <w:shd w:val="clear" w:color="auto" w:fill="auto"/>
            <w:vAlign w:val="center"/>
            <w:hideMark/>
          </w:tcPr>
          <w:p w14:paraId="3017F63C"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10,746,921,469.12 </w:t>
            </w:r>
          </w:p>
        </w:tc>
        <w:tc>
          <w:tcPr>
            <w:tcW w:w="469" w:type="pct"/>
            <w:tcBorders>
              <w:top w:val="nil"/>
              <w:left w:val="nil"/>
              <w:bottom w:val="single" w:sz="8" w:space="0" w:color="auto"/>
              <w:right w:val="nil"/>
            </w:tcBorders>
            <w:shd w:val="clear" w:color="auto" w:fill="auto"/>
            <w:vAlign w:val="center"/>
            <w:hideMark/>
          </w:tcPr>
          <w:p w14:paraId="224E193D" w14:textId="77777777" w:rsidR="00050BAC" w:rsidRPr="00050BAC" w:rsidRDefault="00050BAC" w:rsidP="00050BAC">
            <w:pPr>
              <w:spacing w:after="0" w:line="240" w:lineRule="auto"/>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 xml:space="preserve">  11,078,124,113.19 </w:t>
            </w:r>
          </w:p>
        </w:tc>
        <w:tc>
          <w:tcPr>
            <w:tcW w:w="327" w:type="pct"/>
            <w:tcBorders>
              <w:top w:val="nil"/>
              <w:left w:val="single" w:sz="8" w:space="0" w:color="auto"/>
              <w:bottom w:val="single" w:sz="8" w:space="0" w:color="auto"/>
              <w:right w:val="single" w:sz="8" w:space="0" w:color="auto"/>
            </w:tcBorders>
            <w:shd w:val="clear" w:color="auto" w:fill="auto"/>
            <w:vAlign w:val="center"/>
            <w:hideMark/>
          </w:tcPr>
          <w:p w14:paraId="292B10E7"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100.00%</w:t>
            </w:r>
          </w:p>
        </w:tc>
        <w:tc>
          <w:tcPr>
            <w:tcW w:w="332" w:type="pct"/>
            <w:tcBorders>
              <w:top w:val="nil"/>
              <w:left w:val="nil"/>
              <w:bottom w:val="single" w:sz="8" w:space="0" w:color="auto"/>
              <w:right w:val="single" w:sz="8" w:space="0" w:color="auto"/>
            </w:tcBorders>
            <w:shd w:val="clear" w:color="auto" w:fill="auto"/>
            <w:vAlign w:val="center"/>
            <w:hideMark/>
          </w:tcPr>
          <w:p w14:paraId="74343C4A"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100.00%</w:t>
            </w:r>
          </w:p>
        </w:tc>
        <w:tc>
          <w:tcPr>
            <w:tcW w:w="321" w:type="pct"/>
            <w:tcBorders>
              <w:top w:val="nil"/>
              <w:left w:val="nil"/>
              <w:bottom w:val="single" w:sz="8" w:space="0" w:color="auto"/>
              <w:right w:val="single" w:sz="8" w:space="0" w:color="auto"/>
            </w:tcBorders>
            <w:shd w:val="clear" w:color="auto" w:fill="auto"/>
            <w:vAlign w:val="center"/>
            <w:hideMark/>
          </w:tcPr>
          <w:p w14:paraId="12F9E2F0"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100.00%</w:t>
            </w:r>
          </w:p>
        </w:tc>
        <w:tc>
          <w:tcPr>
            <w:tcW w:w="290" w:type="pct"/>
            <w:tcBorders>
              <w:top w:val="nil"/>
              <w:left w:val="nil"/>
              <w:bottom w:val="single" w:sz="8" w:space="0" w:color="auto"/>
              <w:right w:val="single" w:sz="8" w:space="0" w:color="auto"/>
            </w:tcBorders>
            <w:shd w:val="clear" w:color="auto" w:fill="auto"/>
            <w:vAlign w:val="center"/>
            <w:hideMark/>
          </w:tcPr>
          <w:p w14:paraId="1783D500" w14:textId="77777777" w:rsidR="00050BAC" w:rsidRPr="00050BAC" w:rsidRDefault="00050BAC" w:rsidP="00050BAC">
            <w:pPr>
              <w:spacing w:after="0" w:line="240" w:lineRule="auto"/>
              <w:jc w:val="center"/>
              <w:rPr>
                <w:rFonts w:ascii="Times New Roman" w:eastAsia="Times New Roman" w:hAnsi="Times New Roman" w:cs="Times New Roman"/>
                <w:b/>
                <w:bCs/>
                <w:color w:val="000000"/>
                <w:sz w:val="20"/>
                <w:szCs w:val="20"/>
              </w:rPr>
            </w:pPr>
            <w:r w:rsidRPr="00050BAC">
              <w:rPr>
                <w:rFonts w:ascii="Times New Roman" w:eastAsia="Times New Roman" w:hAnsi="Times New Roman" w:cs="Times New Roman"/>
                <w:b/>
                <w:bCs/>
                <w:color w:val="000000"/>
                <w:sz w:val="20"/>
                <w:szCs w:val="20"/>
              </w:rPr>
              <w:t>100.00%</w:t>
            </w:r>
          </w:p>
        </w:tc>
      </w:tr>
    </w:tbl>
    <w:p w14:paraId="1E135453" w14:textId="77777777" w:rsidR="00050BAC" w:rsidRDefault="00050BAC" w:rsidP="00BC4546">
      <w:pPr>
        <w:spacing w:before="9" w:after="172" w:line="276" w:lineRule="exact"/>
        <w:rPr>
          <w:rFonts w:ascii="Times New Roman" w:hAnsi="Times New Roman" w:cs="Times New Roman"/>
          <w:b/>
          <w:bCs/>
          <w:spacing w:val="1"/>
          <w:sz w:val="24"/>
          <w:szCs w:val="24"/>
        </w:rPr>
      </w:pPr>
    </w:p>
    <w:p w14:paraId="6696AD3F" w14:textId="77777777" w:rsidR="00050BAC" w:rsidRDefault="00050BAC" w:rsidP="00BC4546">
      <w:pPr>
        <w:spacing w:before="9" w:after="172" w:line="276" w:lineRule="exact"/>
        <w:rPr>
          <w:rFonts w:ascii="Times New Roman" w:hAnsi="Times New Roman" w:cs="Times New Roman"/>
          <w:b/>
          <w:bCs/>
          <w:spacing w:val="1"/>
          <w:sz w:val="24"/>
          <w:szCs w:val="24"/>
        </w:rPr>
      </w:pPr>
    </w:p>
    <w:p w14:paraId="5E5D0071" w14:textId="6753B2E0" w:rsidR="002F64D4" w:rsidRDefault="002F64D4" w:rsidP="00BC4546">
      <w:pPr>
        <w:spacing w:before="9" w:after="172" w:line="276" w:lineRule="exact"/>
        <w:rPr>
          <w:rFonts w:ascii="Times New Roman" w:hAnsi="Times New Roman" w:cs="Times New Roman"/>
          <w:b/>
          <w:bCs/>
          <w:spacing w:val="1"/>
          <w:sz w:val="24"/>
          <w:szCs w:val="24"/>
        </w:rPr>
        <w:sectPr w:rsidR="002F64D4" w:rsidSect="002F64D4">
          <w:type w:val="continuous"/>
          <w:pgSz w:w="16839" w:h="11907" w:orient="landscape" w:code="9"/>
          <w:pgMar w:top="1440" w:right="1440" w:bottom="1440" w:left="1440" w:header="720" w:footer="720" w:gutter="0"/>
          <w:cols w:space="720"/>
          <w:docGrid w:linePitch="360"/>
        </w:sectPr>
      </w:pPr>
    </w:p>
    <w:p w14:paraId="1614D6B2" w14:textId="56221C38" w:rsidR="00577BFF" w:rsidRDefault="00577BFF" w:rsidP="008956E9">
      <w:pPr>
        <w:pStyle w:val="Heading2"/>
        <w:rPr>
          <w:rFonts w:ascii="Times New Roman" w:hAnsi="Times New Roman" w:cs="Times New Roman"/>
          <w:color w:val="auto"/>
        </w:rPr>
        <w:sectPr w:rsidR="00577BFF" w:rsidSect="00CC7824">
          <w:pgSz w:w="11907" w:h="16839" w:code="9"/>
          <w:pgMar w:top="1440" w:right="1440" w:bottom="1440" w:left="1440" w:header="720" w:footer="720" w:gutter="0"/>
          <w:cols w:space="720"/>
          <w:docGrid w:linePitch="360"/>
        </w:sectPr>
      </w:pPr>
    </w:p>
    <w:p w14:paraId="1AB06543" w14:textId="5F2299CD" w:rsidR="00542DE0" w:rsidRPr="008956E9" w:rsidRDefault="008956E9" w:rsidP="008956E9">
      <w:pPr>
        <w:pStyle w:val="Heading2"/>
        <w:rPr>
          <w:rFonts w:ascii="Times New Roman" w:hAnsi="Times New Roman" w:cs="Times New Roman"/>
          <w:color w:val="auto"/>
        </w:rPr>
      </w:pPr>
      <w:bookmarkStart w:id="76" w:name="_Toc23266845"/>
      <w:r>
        <w:rPr>
          <w:rFonts w:ascii="Times New Roman" w:hAnsi="Times New Roman" w:cs="Times New Roman"/>
          <w:color w:val="auto"/>
        </w:rPr>
        <w:t xml:space="preserve">4.4 </w:t>
      </w:r>
      <w:r w:rsidR="00AD6531">
        <w:rPr>
          <w:rFonts w:ascii="Times New Roman" w:hAnsi="Times New Roman" w:cs="Times New Roman"/>
          <w:color w:val="auto"/>
        </w:rPr>
        <w:t>The Proposed 2020/21</w:t>
      </w:r>
      <w:r w:rsidR="009D76EA" w:rsidRPr="008956E9">
        <w:rPr>
          <w:rFonts w:ascii="Times New Roman" w:hAnsi="Times New Roman" w:cs="Times New Roman"/>
          <w:color w:val="auto"/>
        </w:rPr>
        <w:t xml:space="preserve"> Budget Framework</w:t>
      </w:r>
      <w:bookmarkEnd w:id="76"/>
    </w:p>
    <w:p w14:paraId="459AF21C" w14:textId="6A442B25" w:rsidR="002123D0" w:rsidRDefault="002123D0" w:rsidP="002123D0">
      <w:pPr>
        <w:jc w:val="both"/>
        <w:rPr>
          <w:rFonts w:ascii="Times New Roman" w:hAnsi="Times New Roman" w:cs="Times New Roman"/>
          <w:sz w:val="24"/>
          <w:szCs w:val="24"/>
        </w:rPr>
      </w:pPr>
      <w:r w:rsidRPr="00F31384">
        <w:rPr>
          <w:rFonts w:ascii="Times New Roman" w:hAnsi="Times New Roman" w:cs="Times New Roman"/>
          <w:sz w:val="24"/>
          <w:szCs w:val="24"/>
        </w:rPr>
        <w:t>The Medium-Term Fiscal Policy aims at supporting rapid and inclusive economic growth continue the fiscal consolidation programme while creating fiscal space for the imple</w:t>
      </w:r>
      <w:r>
        <w:rPr>
          <w:rFonts w:ascii="Times New Roman" w:hAnsi="Times New Roman" w:cs="Times New Roman"/>
          <w:sz w:val="24"/>
          <w:szCs w:val="24"/>
        </w:rPr>
        <w:t>mentation of the CIDP planned priorities</w:t>
      </w:r>
      <w:r w:rsidRPr="00F31384">
        <w:rPr>
          <w:rFonts w:ascii="Times New Roman" w:hAnsi="Times New Roman" w:cs="Times New Roman"/>
          <w:sz w:val="24"/>
          <w:szCs w:val="24"/>
        </w:rPr>
        <w:t>. In this regard, and driven by continued reforms in revenue administration and revenue enhancement measures,</w:t>
      </w:r>
      <w:r>
        <w:rPr>
          <w:rFonts w:ascii="Times New Roman" w:hAnsi="Times New Roman" w:cs="Times New Roman"/>
          <w:sz w:val="24"/>
          <w:szCs w:val="24"/>
        </w:rPr>
        <w:t xml:space="preserve"> local</w:t>
      </w:r>
      <w:r w:rsidRPr="00F31384">
        <w:rPr>
          <w:rFonts w:ascii="Times New Roman" w:hAnsi="Times New Roman" w:cs="Times New Roman"/>
          <w:sz w:val="24"/>
          <w:szCs w:val="24"/>
        </w:rPr>
        <w:t xml:space="preserve"> revenue </w:t>
      </w:r>
      <w:r>
        <w:rPr>
          <w:rFonts w:ascii="Times New Roman" w:hAnsi="Times New Roman" w:cs="Times New Roman"/>
          <w:sz w:val="24"/>
          <w:szCs w:val="24"/>
        </w:rPr>
        <w:t>collection is projected at 7 percent of total revenue  by FY 2022/23.</w:t>
      </w:r>
      <w:r w:rsidRPr="00F31384">
        <w:rPr>
          <w:rFonts w:ascii="Times New Roman" w:hAnsi="Times New Roman" w:cs="Times New Roman"/>
          <w:sz w:val="24"/>
          <w:szCs w:val="24"/>
        </w:rPr>
        <w:t xml:space="preserve"> </w:t>
      </w:r>
    </w:p>
    <w:p w14:paraId="553F3F2A" w14:textId="77777777" w:rsidR="00AD6531" w:rsidRDefault="002123D0" w:rsidP="00AD6531">
      <w:pPr>
        <w:jc w:val="both"/>
        <w:rPr>
          <w:rFonts w:ascii="Times New Roman" w:hAnsi="Times New Roman" w:cs="Times New Roman"/>
          <w:sz w:val="24"/>
          <w:szCs w:val="24"/>
        </w:rPr>
      </w:pPr>
      <w:r>
        <w:rPr>
          <w:rFonts w:ascii="Times New Roman" w:hAnsi="Times New Roman" w:cs="Times New Roman"/>
          <w:sz w:val="24"/>
          <w:szCs w:val="24"/>
        </w:rPr>
        <w:t>Below is a table showing fiscal projections for the medium term period FY 2020/21-2022/2</w:t>
      </w:r>
      <w:r w:rsidR="00600CC4">
        <w:rPr>
          <w:rFonts w:ascii="Times New Roman" w:hAnsi="Times New Roman" w:cs="Times New Roman"/>
          <w:sz w:val="24"/>
          <w:szCs w:val="24"/>
        </w:rPr>
        <w:t>3</w:t>
      </w:r>
    </w:p>
    <w:p w14:paraId="3769D5A1" w14:textId="175AB14E" w:rsidR="002123D0" w:rsidRPr="002123D0" w:rsidRDefault="002123D0" w:rsidP="00AD6531">
      <w:pPr>
        <w:jc w:val="both"/>
        <w:rPr>
          <w:rFonts w:ascii="Times New Roman" w:hAnsi="Times New Roman" w:cs="Times New Roman"/>
          <w:b/>
          <w:sz w:val="24"/>
          <w:szCs w:val="24"/>
        </w:rPr>
      </w:pPr>
      <w:r w:rsidRPr="002123D0">
        <w:rPr>
          <w:rFonts w:ascii="Times New Roman" w:hAnsi="Times New Roman" w:cs="Times New Roman"/>
          <w:b/>
          <w:sz w:val="24"/>
          <w:szCs w:val="24"/>
        </w:rPr>
        <w:t>Tabl</w:t>
      </w:r>
      <w:r w:rsidR="003D1389">
        <w:rPr>
          <w:rFonts w:ascii="Times New Roman" w:hAnsi="Times New Roman" w:cs="Times New Roman"/>
          <w:b/>
          <w:sz w:val="24"/>
          <w:szCs w:val="24"/>
        </w:rPr>
        <w:t>e 2.6</w:t>
      </w:r>
      <w:r w:rsidRPr="002123D0">
        <w:rPr>
          <w:rFonts w:ascii="Times New Roman" w:hAnsi="Times New Roman" w:cs="Times New Roman"/>
          <w:b/>
          <w:sz w:val="24"/>
          <w:szCs w:val="24"/>
        </w:rPr>
        <w:t xml:space="preserve"> Summary of Expenditure Pro</w:t>
      </w:r>
      <w:r w:rsidR="00600CC4">
        <w:rPr>
          <w:rFonts w:ascii="Times New Roman" w:hAnsi="Times New Roman" w:cs="Times New Roman"/>
          <w:b/>
          <w:sz w:val="24"/>
          <w:szCs w:val="24"/>
        </w:rPr>
        <w:t>jections 20</w:t>
      </w:r>
      <w:r w:rsidRPr="002123D0">
        <w:rPr>
          <w:rFonts w:ascii="Times New Roman" w:hAnsi="Times New Roman" w:cs="Times New Roman"/>
          <w:b/>
          <w:sz w:val="24"/>
          <w:szCs w:val="24"/>
        </w:rPr>
        <w:t>20</w:t>
      </w:r>
      <w:r w:rsidR="00600CC4">
        <w:rPr>
          <w:rFonts w:ascii="Times New Roman" w:hAnsi="Times New Roman" w:cs="Times New Roman"/>
          <w:b/>
          <w:sz w:val="24"/>
          <w:szCs w:val="24"/>
        </w:rPr>
        <w:t>/21-2022/23</w:t>
      </w:r>
      <w:r w:rsidRPr="002123D0">
        <w:rPr>
          <w:rFonts w:ascii="Times New Roman" w:hAnsi="Times New Roman" w:cs="Times New Roman"/>
          <w:b/>
          <w:sz w:val="24"/>
          <w:szCs w:val="24"/>
        </w:rPr>
        <w:t xml:space="preserve"> FY and MTEF</w:t>
      </w:r>
    </w:p>
    <w:tbl>
      <w:tblPr>
        <w:tblW w:w="5000" w:type="pct"/>
        <w:tblLook w:val="04A0" w:firstRow="1" w:lastRow="0" w:firstColumn="1" w:lastColumn="0" w:noHBand="0" w:noVBand="1"/>
      </w:tblPr>
      <w:tblGrid>
        <w:gridCol w:w="1669"/>
        <w:gridCol w:w="1466"/>
        <w:gridCol w:w="1474"/>
        <w:gridCol w:w="1466"/>
        <w:gridCol w:w="1466"/>
        <w:gridCol w:w="1466"/>
      </w:tblGrid>
      <w:tr w:rsidR="00241D2C" w:rsidRPr="00241D2C" w14:paraId="0C0AF11E" w14:textId="77777777" w:rsidTr="00241D2C">
        <w:trPr>
          <w:trHeight w:val="690"/>
        </w:trPr>
        <w:tc>
          <w:tcPr>
            <w:tcW w:w="1132"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1671492D" w14:textId="77777777" w:rsidR="00241D2C" w:rsidRPr="00241D2C" w:rsidRDefault="00241D2C" w:rsidP="00241D2C">
            <w:pPr>
              <w:spacing w:after="0" w:line="240" w:lineRule="auto"/>
              <w:jc w:val="right"/>
              <w:rPr>
                <w:rFonts w:ascii="Times New Roman" w:eastAsia="Times New Roman" w:hAnsi="Times New Roman" w:cs="Times New Roman"/>
                <w:b/>
                <w:bCs/>
                <w:color w:val="000000"/>
                <w:sz w:val="20"/>
                <w:szCs w:val="20"/>
              </w:rPr>
            </w:pPr>
            <w:r w:rsidRPr="00241D2C">
              <w:rPr>
                <w:rFonts w:ascii="Times New Roman" w:eastAsia="Times New Roman" w:hAnsi="Times New Roman" w:cs="Times New Roman"/>
                <w:b/>
                <w:bCs/>
                <w:color w:val="000000"/>
                <w:sz w:val="20"/>
                <w:szCs w:val="20"/>
              </w:rPr>
              <w:t>Revenue Type</w:t>
            </w:r>
          </w:p>
        </w:tc>
        <w:tc>
          <w:tcPr>
            <w:tcW w:w="765" w:type="pct"/>
            <w:tcBorders>
              <w:top w:val="single" w:sz="8" w:space="0" w:color="auto"/>
              <w:left w:val="nil"/>
              <w:bottom w:val="single" w:sz="8" w:space="0" w:color="auto"/>
              <w:right w:val="single" w:sz="8" w:space="0" w:color="auto"/>
            </w:tcBorders>
            <w:shd w:val="clear" w:color="auto" w:fill="auto"/>
            <w:vAlign w:val="center"/>
            <w:hideMark/>
          </w:tcPr>
          <w:p w14:paraId="131106DC" w14:textId="77777777" w:rsidR="00241D2C" w:rsidRPr="00241D2C" w:rsidRDefault="00241D2C" w:rsidP="00241D2C">
            <w:pPr>
              <w:spacing w:after="0" w:line="240" w:lineRule="auto"/>
              <w:ind w:firstLineChars="200" w:firstLine="402"/>
              <w:rPr>
                <w:rFonts w:ascii="Times New Roman" w:eastAsia="Times New Roman" w:hAnsi="Times New Roman" w:cs="Times New Roman"/>
                <w:b/>
                <w:bCs/>
                <w:color w:val="000000"/>
                <w:sz w:val="20"/>
                <w:szCs w:val="20"/>
              </w:rPr>
            </w:pPr>
            <w:r w:rsidRPr="00241D2C">
              <w:rPr>
                <w:rFonts w:ascii="Times New Roman" w:eastAsia="Times New Roman" w:hAnsi="Times New Roman" w:cs="Times New Roman"/>
                <w:b/>
                <w:bCs/>
                <w:color w:val="000000"/>
                <w:sz w:val="20"/>
                <w:szCs w:val="20"/>
              </w:rPr>
              <w:t>Budget Estimates</w:t>
            </w:r>
          </w:p>
        </w:tc>
        <w:tc>
          <w:tcPr>
            <w:tcW w:w="882" w:type="pct"/>
            <w:tcBorders>
              <w:top w:val="single" w:sz="8" w:space="0" w:color="auto"/>
              <w:left w:val="nil"/>
              <w:bottom w:val="single" w:sz="8" w:space="0" w:color="auto"/>
              <w:right w:val="single" w:sz="8" w:space="0" w:color="auto"/>
            </w:tcBorders>
            <w:shd w:val="clear" w:color="auto" w:fill="auto"/>
            <w:vAlign w:val="center"/>
            <w:hideMark/>
          </w:tcPr>
          <w:p w14:paraId="0F40F2A7" w14:textId="77777777" w:rsidR="00241D2C" w:rsidRPr="00241D2C" w:rsidRDefault="00241D2C" w:rsidP="00241D2C">
            <w:pPr>
              <w:spacing w:after="0" w:line="240" w:lineRule="auto"/>
              <w:ind w:firstLineChars="200" w:firstLine="402"/>
              <w:rPr>
                <w:rFonts w:ascii="Times New Roman" w:eastAsia="Times New Roman" w:hAnsi="Times New Roman" w:cs="Times New Roman"/>
                <w:b/>
                <w:bCs/>
                <w:color w:val="000000"/>
                <w:sz w:val="20"/>
                <w:szCs w:val="20"/>
              </w:rPr>
            </w:pPr>
            <w:r w:rsidRPr="00241D2C">
              <w:rPr>
                <w:rFonts w:ascii="Times New Roman" w:eastAsia="Times New Roman" w:hAnsi="Times New Roman" w:cs="Times New Roman"/>
                <w:b/>
                <w:bCs/>
                <w:color w:val="000000"/>
                <w:sz w:val="20"/>
                <w:szCs w:val="20"/>
              </w:rPr>
              <w:t>Approved Budget Estimates</w:t>
            </w:r>
          </w:p>
        </w:tc>
        <w:tc>
          <w:tcPr>
            <w:tcW w:w="2221" w:type="pct"/>
            <w:gridSpan w:val="3"/>
            <w:tcBorders>
              <w:top w:val="single" w:sz="8" w:space="0" w:color="auto"/>
              <w:left w:val="nil"/>
              <w:bottom w:val="single" w:sz="8" w:space="0" w:color="auto"/>
              <w:right w:val="single" w:sz="8" w:space="0" w:color="000000"/>
            </w:tcBorders>
            <w:shd w:val="clear" w:color="auto" w:fill="auto"/>
            <w:vAlign w:val="center"/>
            <w:hideMark/>
          </w:tcPr>
          <w:p w14:paraId="49A9A425" w14:textId="77777777" w:rsidR="00241D2C" w:rsidRPr="00241D2C" w:rsidRDefault="00241D2C" w:rsidP="00241D2C">
            <w:pPr>
              <w:spacing w:after="0" w:line="240" w:lineRule="auto"/>
              <w:jc w:val="center"/>
              <w:rPr>
                <w:rFonts w:ascii="Times New Roman" w:eastAsia="Times New Roman" w:hAnsi="Times New Roman" w:cs="Times New Roman"/>
                <w:b/>
                <w:bCs/>
                <w:color w:val="000000"/>
                <w:sz w:val="20"/>
                <w:szCs w:val="20"/>
              </w:rPr>
            </w:pPr>
            <w:r w:rsidRPr="00241D2C">
              <w:rPr>
                <w:rFonts w:ascii="Times New Roman" w:eastAsia="Times New Roman" w:hAnsi="Times New Roman" w:cs="Times New Roman"/>
                <w:b/>
                <w:bCs/>
                <w:color w:val="000000"/>
                <w:sz w:val="20"/>
                <w:szCs w:val="20"/>
              </w:rPr>
              <w:t>Projected Estimates</w:t>
            </w:r>
          </w:p>
        </w:tc>
      </w:tr>
      <w:tr w:rsidR="00241D2C" w:rsidRPr="00241D2C" w14:paraId="701737B1" w14:textId="77777777" w:rsidTr="00241D2C">
        <w:trPr>
          <w:trHeight w:val="270"/>
        </w:trPr>
        <w:tc>
          <w:tcPr>
            <w:tcW w:w="1132" w:type="pct"/>
            <w:vMerge/>
            <w:tcBorders>
              <w:top w:val="single" w:sz="8" w:space="0" w:color="auto"/>
              <w:left w:val="single" w:sz="8" w:space="0" w:color="auto"/>
              <w:bottom w:val="single" w:sz="8" w:space="0" w:color="000000"/>
              <w:right w:val="single" w:sz="8" w:space="0" w:color="auto"/>
            </w:tcBorders>
            <w:vAlign w:val="center"/>
            <w:hideMark/>
          </w:tcPr>
          <w:p w14:paraId="1AD0BEED" w14:textId="77777777" w:rsidR="00241D2C" w:rsidRPr="00241D2C" w:rsidRDefault="00241D2C" w:rsidP="00241D2C">
            <w:pPr>
              <w:spacing w:after="0" w:line="240" w:lineRule="auto"/>
              <w:rPr>
                <w:rFonts w:ascii="Times New Roman" w:eastAsia="Times New Roman" w:hAnsi="Times New Roman" w:cs="Times New Roman"/>
                <w:b/>
                <w:bCs/>
                <w:color w:val="000000"/>
                <w:sz w:val="20"/>
                <w:szCs w:val="20"/>
              </w:rPr>
            </w:pPr>
          </w:p>
        </w:tc>
        <w:tc>
          <w:tcPr>
            <w:tcW w:w="765" w:type="pct"/>
            <w:tcBorders>
              <w:top w:val="nil"/>
              <w:left w:val="nil"/>
              <w:bottom w:val="single" w:sz="8" w:space="0" w:color="auto"/>
              <w:right w:val="single" w:sz="8" w:space="0" w:color="auto"/>
            </w:tcBorders>
            <w:shd w:val="clear" w:color="auto" w:fill="auto"/>
            <w:vAlign w:val="center"/>
            <w:hideMark/>
          </w:tcPr>
          <w:p w14:paraId="55395852" w14:textId="77777777" w:rsidR="00241D2C" w:rsidRPr="00241D2C" w:rsidRDefault="00241D2C" w:rsidP="00241D2C">
            <w:pPr>
              <w:spacing w:after="0" w:line="240" w:lineRule="auto"/>
              <w:jc w:val="right"/>
              <w:rPr>
                <w:rFonts w:ascii="Times New Roman" w:eastAsia="Times New Roman" w:hAnsi="Times New Roman" w:cs="Times New Roman"/>
                <w:b/>
                <w:bCs/>
                <w:color w:val="000000"/>
                <w:sz w:val="20"/>
                <w:szCs w:val="20"/>
              </w:rPr>
            </w:pPr>
            <w:r w:rsidRPr="00241D2C">
              <w:rPr>
                <w:rFonts w:ascii="Times New Roman" w:eastAsia="Times New Roman" w:hAnsi="Times New Roman" w:cs="Times New Roman"/>
                <w:b/>
                <w:bCs/>
                <w:color w:val="000000"/>
                <w:sz w:val="20"/>
                <w:szCs w:val="20"/>
              </w:rPr>
              <w:t>FY 2018/19</w:t>
            </w:r>
          </w:p>
        </w:tc>
        <w:tc>
          <w:tcPr>
            <w:tcW w:w="882" w:type="pct"/>
            <w:tcBorders>
              <w:top w:val="nil"/>
              <w:left w:val="nil"/>
              <w:bottom w:val="single" w:sz="8" w:space="0" w:color="auto"/>
              <w:right w:val="single" w:sz="8" w:space="0" w:color="auto"/>
            </w:tcBorders>
            <w:shd w:val="clear" w:color="auto" w:fill="auto"/>
            <w:vAlign w:val="center"/>
            <w:hideMark/>
          </w:tcPr>
          <w:p w14:paraId="13FE33E8" w14:textId="77777777" w:rsidR="00241D2C" w:rsidRPr="00241D2C" w:rsidRDefault="00241D2C" w:rsidP="00241D2C">
            <w:pPr>
              <w:spacing w:after="0" w:line="240" w:lineRule="auto"/>
              <w:jc w:val="right"/>
              <w:rPr>
                <w:rFonts w:ascii="Times New Roman" w:eastAsia="Times New Roman" w:hAnsi="Times New Roman" w:cs="Times New Roman"/>
                <w:b/>
                <w:bCs/>
                <w:color w:val="000000"/>
                <w:sz w:val="20"/>
                <w:szCs w:val="20"/>
              </w:rPr>
            </w:pPr>
            <w:r w:rsidRPr="00241D2C">
              <w:rPr>
                <w:rFonts w:ascii="Times New Roman" w:eastAsia="Times New Roman" w:hAnsi="Times New Roman" w:cs="Times New Roman"/>
                <w:b/>
                <w:bCs/>
                <w:color w:val="000000"/>
                <w:sz w:val="20"/>
                <w:szCs w:val="20"/>
              </w:rPr>
              <w:t>FY 2019/20</w:t>
            </w:r>
          </w:p>
        </w:tc>
        <w:tc>
          <w:tcPr>
            <w:tcW w:w="740" w:type="pct"/>
            <w:tcBorders>
              <w:top w:val="nil"/>
              <w:left w:val="nil"/>
              <w:bottom w:val="single" w:sz="8" w:space="0" w:color="auto"/>
              <w:right w:val="single" w:sz="8" w:space="0" w:color="auto"/>
            </w:tcBorders>
            <w:shd w:val="clear" w:color="auto" w:fill="auto"/>
            <w:vAlign w:val="center"/>
            <w:hideMark/>
          </w:tcPr>
          <w:p w14:paraId="1A1A1743" w14:textId="77777777" w:rsidR="00241D2C" w:rsidRPr="00241D2C" w:rsidRDefault="00241D2C" w:rsidP="00241D2C">
            <w:pPr>
              <w:spacing w:after="0" w:line="240" w:lineRule="auto"/>
              <w:jc w:val="right"/>
              <w:rPr>
                <w:rFonts w:ascii="Times New Roman" w:eastAsia="Times New Roman" w:hAnsi="Times New Roman" w:cs="Times New Roman"/>
                <w:b/>
                <w:bCs/>
                <w:color w:val="000000"/>
                <w:sz w:val="20"/>
                <w:szCs w:val="20"/>
              </w:rPr>
            </w:pPr>
            <w:r w:rsidRPr="00241D2C">
              <w:rPr>
                <w:rFonts w:ascii="Times New Roman" w:eastAsia="Times New Roman" w:hAnsi="Times New Roman" w:cs="Times New Roman"/>
                <w:b/>
                <w:bCs/>
                <w:color w:val="000000"/>
                <w:sz w:val="20"/>
                <w:szCs w:val="20"/>
              </w:rPr>
              <w:t>FY 2020/21</w:t>
            </w:r>
          </w:p>
        </w:tc>
        <w:tc>
          <w:tcPr>
            <w:tcW w:w="740" w:type="pct"/>
            <w:tcBorders>
              <w:top w:val="nil"/>
              <w:left w:val="nil"/>
              <w:bottom w:val="single" w:sz="8" w:space="0" w:color="auto"/>
              <w:right w:val="single" w:sz="8" w:space="0" w:color="auto"/>
            </w:tcBorders>
            <w:shd w:val="clear" w:color="auto" w:fill="auto"/>
            <w:vAlign w:val="center"/>
            <w:hideMark/>
          </w:tcPr>
          <w:p w14:paraId="75FB1FDB" w14:textId="77777777" w:rsidR="00241D2C" w:rsidRPr="00241D2C" w:rsidRDefault="00241D2C" w:rsidP="00241D2C">
            <w:pPr>
              <w:spacing w:after="0" w:line="240" w:lineRule="auto"/>
              <w:jc w:val="right"/>
              <w:rPr>
                <w:rFonts w:ascii="Times New Roman" w:eastAsia="Times New Roman" w:hAnsi="Times New Roman" w:cs="Times New Roman"/>
                <w:b/>
                <w:bCs/>
                <w:color w:val="000000"/>
                <w:sz w:val="20"/>
                <w:szCs w:val="20"/>
              </w:rPr>
            </w:pPr>
            <w:r w:rsidRPr="00241D2C">
              <w:rPr>
                <w:rFonts w:ascii="Times New Roman" w:eastAsia="Times New Roman" w:hAnsi="Times New Roman" w:cs="Times New Roman"/>
                <w:b/>
                <w:bCs/>
                <w:color w:val="000000"/>
                <w:sz w:val="20"/>
                <w:szCs w:val="20"/>
              </w:rPr>
              <w:t>FY 2021/22</w:t>
            </w:r>
          </w:p>
        </w:tc>
        <w:tc>
          <w:tcPr>
            <w:tcW w:w="740" w:type="pct"/>
            <w:tcBorders>
              <w:top w:val="nil"/>
              <w:left w:val="nil"/>
              <w:bottom w:val="single" w:sz="8" w:space="0" w:color="auto"/>
              <w:right w:val="single" w:sz="8" w:space="0" w:color="auto"/>
            </w:tcBorders>
            <w:shd w:val="clear" w:color="auto" w:fill="auto"/>
            <w:vAlign w:val="center"/>
            <w:hideMark/>
          </w:tcPr>
          <w:p w14:paraId="3E020F71" w14:textId="77777777" w:rsidR="00241D2C" w:rsidRPr="00241D2C" w:rsidRDefault="00241D2C" w:rsidP="00241D2C">
            <w:pPr>
              <w:spacing w:after="0" w:line="240" w:lineRule="auto"/>
              <w:jc w:val="right"/>
              <w:rPr>
                <w:rFonts w:ascii="Times New Roman" w:eastAsia="Times New Roman" w:hAnsi="Times New Roman" w:cs="Times New Roman"/>
                <w:b/>
                <w:bCs/>
                <w:color w:val="000000"/>
                <w:sz w:val="20"/>
                <w:szCs w:val="20"/>
              </w:rPr>
            </w:pPr>
            <w:r w:rsidRPr="00241D2C">
              <w:rPr>
                <w:rFonts w:ascii="Times New Roman" w:eastAsia="Times New Roman" w:hAnsi="Times New Roman" w:cs="Times New Roman"/>
                <w:b/>
                <w:bCs/>
                <w:color w:val="000000"/>
                <w:sz w:val="20"/>
                <w:szCs w:val="20"/>
              </w:rPr>
              <w:t>FY 2022/23</w:t>
            </w:r>
          </w:p>
        </w:tc>
      </w:tr>
      <w:tr w:rsidR="00241D2C" w:rsidRPr="00241D2C" w14:paraId="77B9DF1D" w14:textId="77777777" w:rsidTr="00241D2C">
        <w:trPr>
          <w:trHeight w:val="270"/>
        </w:trPr>
        <w:tc>
          <w:tcPr>
            <w:tcW w:w="1132" w:type="pct"/>
            <w:tcBorders>
              <w:top w:val="nil"/>
              <w:left w:val="single" w:sz="8" w:space="0" w:color="auto"/>
              <w:bottom w:val="single" w:sz="8" w:space="0" w:color="auto"/>
              <w:right w:val="single" w:sz="8" w:space="0" w:color="auto"/>
            </w:tcBorders>
            <w:shd w:val="clear" w:color="auto" w:fill="auto"/>
            <w:vAlign w:val="center"/>
            <w:hideMark/>
          </w:tcPr>
          <w:p w14:paraId="45C072BE" w14:textId="77777777" w:rsidR="00241D2C" w:rsidRPr="00241D2C" w:rsidRDefault="00241D2C" w:rsidP="00241D2C">
            <w:pPr>
              <w:spacing w:after="0" w:line="240" w:lineRule="auto"/>
              <w:rPr>
                <w:rFonts w:ascii="Times New Roman" w:eastAsia="Times New Roman" w:hAnsi="Times New Roman" w:cs="Times New Roman"/>
                <w:color w:val="000000"/>
                <w:sz w:val="20"/>
                <w:szCs w:val="20"/>
              </w:rPr>
            </w:pPr>
            <w:r w:rsidRPr="00241D2C">
              <w:rPr>
                <w:rFonts w:ascii="Times New Roman" w:eastAsia="Times New Roman" w:hAnsi="Times New Roman" w:cs="Times New Roman"/>
                <w:color w:val="000000"/>
                <w:sz w:val="20"/>
                <w:szCs w:val="20"/>
              </w:rPr>
              <w:t>Personnel Emoluments</w:t>
            </w:r>
          </w:p>
        </w:tc>
        <w:tc>
          <w:tcPr>
            <w:tcW w:w="765" w:type="pct"/>
            <w:tcBorders>
              <w:top w:val="nil"/>
              <w:left w:val="nil"/>
              <w:bottom w:val="single" w:sz="8" w:space="0" w:color="auto"/>
              <w:right w:val="single" w:sz="8" w:space="0" w:color="auto"/>
            </w:tcBorders>
            <w:shd w:val="clear" w:color="auto" w:fill="auto"/>
            <w:vAlign w:val="center"/>
            <w:hideMark/>
          </w:tcPr>
          <w:p w14:paraId="02FEBD04" w14:textId="77777777" w:rsidR="00241D2C" w:rsidRPr="00241D2C" w:rsidRDefault="00241D2C" w:rsidP="00241D2C">
            <w:pPr>
              <w:spacing w:after="0" w:line="240" w:lineRule="auto"/>
              <w:jc w:val="right"/>
              <w:rPr>
                <w:rFonts w:ascii="Times New Roman" w:eastAsia="Times New Roman" w:hAnsi="Times New Roman" w:cs="Times New Roman"/>
                <w:color w:val="000000"/>
                <w:sz w:val="20"/>
                <w:szCs w:val="20"/>
              </w:rPr>
            </w:pPr>
            <w:r w:rsidRPr="00241D2C">
              <w:rPr>
                <w:rFonts w:ascii="Times New Roman" w:eastAsia="Times New Roman" w:hAnsi="Times New Roman" w:cs="Times New Roman"/>
                <w:color w:val="000000"/>
                <w:sz w:val="20"/>
                <w:szCs w:val="20"/>
              </w:rPr>
              <w:t>4,824,824,783</w:t>
            </w:r>
          </w:p>
        </w:tc>
        <w:tc>
          <w:tcPr>
            <w:tcW w:w="882" w:type="pct"/>
            <w:tcBorders>
              <w:top w:val="nil"/>
              <w:left w:val="nil"/>
              <w:bottom w:val="single" w:sz="8" w:space="0" w:color="auto"/>
              <w:right w:val="single" w:sz="8" w:space="0" w:color="auto"/>
            </w:tcBorders>
            <w:shd w:val="clear" w:color="auto" w:fill="auto"/>
            <w:vAlign w:val="center"/>
            <w:hideMark/>
          </w:tcPr>
          <w:p w14:paraId="01A5FBB4" w14:textId="77777777" w:rsidR="00241D2C" w:rsidRPr="00241D2C" w:rsidRDefault="00241D2C" w:rsidP="00241D2C">
            <w:pPr>
              <w:spacing w:after="0" w:line="240" w:lineRule="auto"/>
              <w:jc w:val="right"/>
              <w:rPr>
                <w:rFonts w:ascii="Times New Roman" w:eastAsia="Times New Roman" w:hAnsi="Times New Roman" w:cs="Times New Roman"/>
                <w:color w:val="000000"/>
                <w:sz w:val="20"/>
                <w:szCs w:val="20"/>
              </w:rPr>
            </w:pPr>
            <w:r w:rsidRPr="00241D2C">
              <w:rPr>
                <w:rFonts w:ascii="Times New Roman" w:eastAsia="Times New Roman" w:hAnsi="Times New Roman" w:cs="Times New Roman"/>
                <w:color w:val="000000"/>
                <w:sz w:val="20"/>
                <w:szCs w:val="20"/>
              </w:rPr>
              <w:t>5,037,066,655</w:t>
            </w:r>
          </w:p>
        </w:tc>
        <w:tc>
          <w:tcPr>
            <w:tcW w:w="740" w:type="pct"/>
            <w:tcBorders>
              <w:top w:val="nil"/>
              <w:left w:val="nil"/>
              <w:bottom w:val="single" w:sz="8" w:space="0" w:color="auto"/>
              <w:right w:val="single" w:sz="8" w:space="0" w:color="auto"/>
            </w:tcBorders>
            <w:shd w:val="clear" w:color="auto" w:fill="auto"/>
            <w:vAlign w:val="center"/>
            <w:hideMark/>
          </w:tcPr>
          <w:p w14:paraId="57B5D32D" w14:textId="77777777" w:rsidR="00241D2C" w:rsidRPr="00241D2C" w:rsidRDefault="00241D2C" w:rsidP="00241D2C">
            <w:pPr>
              <w:spacing w:after="0" w:line="240" w:lineRule="auto"/>
              <w:jc w:val="right"/>
              <w:rPr>
                <w:rFonts w:ascii="Times New Roman" w:eastAsia="Times New Roman" w:hAnsi="Times New Roman" w:cs="Times New Roman"/>
                <w:color w:val="000000"/>
                <w:sz w:val="20"/>
                <w:szCs w:val="20"/>
              </w:rPr>
            </w:pPr>
            <w:r w:rsidRPr="00241D2C">
              <w:rPr>
                <w:rFonts w:ascii="Times New Roman" w:eastAsia="Times New Roman" w:hAnsi="Times New Roman" w:cs="Times New Roman"/>
                <w:color w:val="000000"/>
                <w:sz w:val="20"/>
                <w:szCs w:val="20"/>
              </w:rPr>
              <w:t>5,238,549,321</w:t>
            </w:r>
          </w:p>
        </w:tc>
        <w:tc>
          <w:tcPr>
            <w:tcW w:w="740" w:type="pct"/>
            <w:tcBorders>
              <w:top w:val="nil"/>
              <w:left w:val="nil"/>
              <w:bottom w:val="single" w:sz="8" w:space="0" w:color="auto"/>
              <w:right w:val="single" w:sz="8" w:space="0" w:color="auto"/>
            </w:tcBorders>
            <w:shd w:val="clear" w:color="auto" w:fill="auto"/>
            <w:vAlign w:val="center"/>
            <w:hideMark/>
          </w:tcPr>
          <w:p w14:paraId="75734B51" w14:textId="77777777" w:rsidR="00241D2C" w:rsidRPr="00241D2C" w:rsidRDefault="00241D2C" w:rsidP="00241D2C">
            <w:pPr>
              <w:spacing w:after="0" w:line="240" w:lineRule="auto"/>
              <w:jc w:val="right"/>
              <w:rPr>
                <w:rFonts w:ascii="Times New Roman" w:eastAsia="Times New Roman" w:hAnsi="Times New Roman" w:cs="Times New Roman"/>
                <w:color w:val="000000"/>
                <w:sz w:val="20"/>
                <w:szCs w:val="20"/>
              </w:rPr>
            </w:pPr>
            <w:r w:rsidRPr="00241D2C">
              <w:rPr>
                <w:rFonts w:ascii="Times New Roman" w:eastAsia="Times New Roman" w:hAnsi="Times New Roman" w:cs="Times New Roman"/>
                <w:color w:val="000000"/>
                <w:sz w:val="20"/>
                <w:szCs w:val="20"/>
              </w:rPr>
              <w:t>5,275,959,594</w:t>
            </w:r>
          </w:p>
        </w:tc>
        <w:tc>
          <w:tcPr>
            <w:tcW w:w="740" w:type="pct"/>
            <w:tcBorders>
              <w:top w:val="nil"/>
              <w:left w:val="nil"/>
              <w:bottom w:val="single" w:sz="8" w:space="0" w:color="auto"/>
              <w:right w:val="single" w:sz="8" w:space="0" w:color="auto"/>
            </w:tcBorders>
            <w:shd w:val="clear" w:color="auto" w:fill="auto"/>
            <w:vAlign w:val="center"/>
            <w:hideMark/>
          </w:tcPr>
          <w:p w14:paraId="631D57B0" w14:textId="77777777" w:rsidR="00241D2C" w:rsidRPr="00241D2C" w:rsidRDefault="00241D2C" w:rsidP="00241D2C">
            <w:pPr>
              <w:spacing w:after="0" w:line="240" w:lineRule="auto"/>
              <w:jc w:val="right"/>
              <w:rPr>
                <w:rFonts w:ascii="Times New Roman" w:eastAsia="Times New Roman" w:hAnsi="Times New Roman" w:cs="Times New Roman"/>
                <w:color w:val="000000"/>
                <w:sz w:val="20"/>
                <w:szCs w:val="20"/>
              </w:rPr>
            </w:pPr>
            <w:r w:rsidRPr="00241D2C">
              <w:rPr>
                <w:rFonts w:ascii="Times New Roman" w:eastAsia="Times New Roman" w:hAnsi="Times New Roman" w:cs="Times New Roman"/>
                <w:color w:val="000000"/>
                <w:sz w:val="20"/>
                <w:szCs w:val="20"/>
              </w:rPr>
              <w:t>5,395,705,178</w:t>
            </w:r>
          </w:p>
        </w:tc>
      </w:tr>
      <w:tr w:rsidR="00241D2C" w:rsidRPr="00241D2C" w14:paraId="3DCB421E" w14:textId="77777777" w:rsidTr="00241D2C">
        <w:trPr>
          <w:trHeight w:val="270"/>
        </w:trPr>
        <w:tc>
          <w:tcPr>
            <w:tcW w:w="1132" w:type="pct"/>
            <w:tcBorders>
              <w:top w:val="nil"/>
              <w:left w:val="single" w:sz="8" w:space="0" w:color="auto"/>
              <w:bottom w:val="single" w:sz="8" w:space="0" w:color="auto"/>
              <w:right w:val="single" w:sz="8" w:space="0" w:color="auto"/>
            </w:tcBorders>
            <w:shd w:val="clear" w:color="auto" w:fill="auto"/>
            <w:vAlign w:val="center"/>
            <w:hideMark/>
          </w:tcPr>
          <w:p w14:paraId="30B1561E" w14:textId="77777777" w:rsidR="00241D2C" w:rsidRPr="00241D2C" w:rsidRDefault="00241D2C" w:rsidP="00241D2C">
            <w:pPr>
              <w:spacing w:after="0" w:line="240" w:lineRule="auto"/>
              <w:rPr>
                <w:rFonts w:ascii="Times New Roman" w:eastAsia="Times New Roman" w:hAnsi="Times New Roman" w:cs="Times New Roman"/>
                <w:color w:val="000000"/>
                <w:sz w:val="20"/>
                <w:szCs w:val="20"/>
              </w:rPr>
            </w:pPr>
            <w:r w:rsidRPr="00241D2C">
              <w:rPr>
                <w:rFonts w:ascii="Times New Roman" w:eastAsia="Times New Roman" w:hAnsi="Times New Roman" w:cs="Times New Roman"/>
                <w:color w:val="000000"/>
                <w:sz w:val="20"/>
                <w:szCs w:val="20"/>
              </w:rPr>
              <w:t>Operation s &amp;Maintenance</w:t>
            </w:r>
          </w:p>
        </w:tc>
        <w:tc>
          <w:tcPr>
            <w:tcW w:w="765" w:type="pct"/>
            <w:tcBorders>
              <w:top w:val="nil"/>
              <w:left w:val="nil"/>
              <w:bottom w:val="single" w:sz="8" w:space="0" w:color="auto"/>
              <w:right w:val="single" w:sz="8" w:space="0" w:color="auto"/>
            </w:tcBorders>
            <w:shd w:val="clear" w:color="auto" w:fill="auto"/>
            <w:vAlign w:val="center"/>
            <w:hideMark/>
          </w:tcPr>
          <w:p w14:paraId="1E419D09" w14:textId="77777777" w:rsidR="00241D2C" w:rsidRPr="00241D2C" w:rsidRDefault="00241D2C" w:rsidP="00241D2C">
            <w:pPr>
              <w:spacing w:after="0" w:line="240" w:lineRule="auto"/>
              <w:jc w:val="right"/>
              <w:rPr>
                <w:rFonts w:ascii="Times New Roman" w:eastAsia="Times New Roman" w:hAnsi="Times New Roman" w:cs="Times New Roman"/>
                <w:color w:val="000000"/>
                <w:sz w:val="20"/>
                <w:szCs w:val="20"/>
              </w:rPr>
            </w:pPr>
            <w:r w:rsidRPr="00241D2C">
              <w:rPr>
                <w:rFonts w:ascii="Times New Roman" w:eastAsia="Times New Roman" w:hAnsi="Times New Roman" w:cs="Times New Roman"/>
                <w:color w:val="000000"/>
                <w:sz w:val="20"/>
                <w:szCs w:val="20"/>
              </w:rPr>
              <w:t>3,037,885,928</w:t>
            </w:r>
          </w:p>
        </w:tc>
        <w:tc>
          <w:tcPr>
            <w:tcW w:w="882" w:type="pct"/>
            <w:tcBorders>
              <w:top w:val="nil"/>
              <w:left w:val="nil"/>
              <w:bottom w:val="single" w:sz="8" w:space="0" w:color="auto"/>
              <w:right w:val="single" w:sz="8" w:space="0" w:color="auto"/>
            </w:tcBorders>
            <w:shd w:val="clear" w:color="auto" w:fill="auto"/>
            <w:vAlign w:val="center"/>
            <w:hideMark/>
          </w:tcPr>
          <w:p w14:paraId="56321778" w14:textId="77777777" w:rsidR="00241D2C" w:rsidRPr="00241D2C" w:rsidRDefault="00241D2C" w:rsidP="00241D2C">
            <w:pPr>
              <w:spacing w:after="0" w:line="240" w:lineRule="auto"/>
              <w:jc w:val="right"/>
              <w:rPr>
                <w:rFonts w:ascii="Times New Roman" w:eastAsia="Times New Roman" w:hAnsi="Times New Roman" w:cs="Times New Roman"/>
                <w:color w:val="000000"/>
                <w:sz w:val="20"/>
                <w:szCs w:val="20"/>
              </w:rPr>
            </w:pPr>
            <w:r w:rsidRPr="00241D2C">
              <w:rPr>
                <w:rFonts w:ascii="Times New Roman" w:eastAsia="Times New Roman" w:hAnsi="Times New Roman" w:cs="Times New Roman"/>
                <w:color w:val="000000"/>
                <w:sz w:val="20"/>
                <w:szCs w:val="20"/>
              </w:rPr>
              <w:t>2,200,298,733</w:t>
            </w:r>
          </w:p>
        </w:tc>
        <w:tc>
          <w:tcPr>
            <w:tcW w:w="740" w:type="pct"/>
            <w:tcBorders>
              <w:top w:val="nil"/>
              <w:left w:val="nil"/>
              <w:bottom w:val="single" w:sz="8" w:space="0" w:color="auto"/>
              <w:right w:val="single" w:sz="8" w:space="0" w:color="auto"/>
            </w:tcBorders>
            <w:shd w:val="clear" w:color="auto" w:fill="auto"/>
            <w:vAlign w:val="center"/>
            <w:hideMark/>
          </w:tcPr>
          <w:p w14:paraId="5ABB2F15" w14:textId="77777777" w:rsidR="00241D2C" w:rsidRPr="00241D2C" w:rsidRDefault="00241D2C" w:rsidP="00241D2C">
            <w:pPr>
              <w:spacing w:after="0" w:line="240" w:lineRule="auto"/>
              <w:jc w:val="right"/>
              <w:rPr>
                <w:rFonts w:ascii="Times New Roman" w:eastAsia="Times New Roman" w:hAnsi="Times New Roman" w:cs="Times New Roman"/>
                <w:color w:val="000000"/>
                <w:sz w:val="20"/>
                <w:szCs w:val="20"/>
              </w:rPr>
            </w:pPr>
            <w:r w:rsidRPr="00241D2C">
              <w:rPr>
                <w:rFonts w:ascii="Times New Roman" w:eastAsia="Times New Roman" w:hAnsi="Times New Roman" w:cs="Times New Roman"/>
                <w:color w:val="000000"/>
                <w:sz w:val="20"/>
                <w:szCs w:val="20"/>
              </w:rPr>
              <w:t>2,067,141,813</w:t>
            </w:r>
          </w:p>
        </w:tc>
        <w:tc>
          <w:tcPr>
            <w:tcW w:w="740" w:type="pct"/>
            <w:tcBorders>
              <w:top w:val="nil"/>
              <w:left w:val="nil"/>
              <w:bottom w:val="single" w:sz="8" w:space="0" w:color="auto"/>
              <w:right w:val="single" w:sz="8" w:space="0" w:color="auto"/>
            </w:tcBorders>
            <w:shd w:val="clear" w:color="auto" w:fill="auto"/>
            <w:vAlign w:val="center"/>
            <w:hideMark/>
          </w:tcPr>
          <w:p w14:paraId="5A0A2653" w14:textId="77777777" w:rsidR="00241D2C" w:rsidRPr="00241D2C" w:rsidRDefault="00241D2C" w:rsidP="00241D2C">
            <w:pPr>
              <w:spacing w:after="0" w:line="240" w:lineRule="auto"/>
              <w:jc w:val="right"/>
              <w:rPr>
                <w:rFonts w:ascii="Times New Roman" w:eastAsia="Times New Roman" w:hAnsi="Times New Roman" w:cs="Times New Roman"/>
                <w:color w:val="000000"/>
                <w:sz w:val="20"/>
                <w:szCs w:val="20"/>
              </w:rPr>
            </w:pPr>
            <w:r w:rsidRPr="00241D2C">
              <w:rPr>
                <w:rFonts w:ascii="Times New Roman" w:eastAsia="Times New Roman" w:hAnsi="Times New Roman" w:cs="Times New Roman"/>
                <w:color w:val="000000"/>
                <w:sz w:val="20"/>
                <w:szCs w:val="20"/>
              </w:rPr>
              <w:t>2,248,902,275</w:t>
            </w:r>
          </w:p>
        </w:tc>
        <w:tc>
          <w:tcPr>
            <w:tcW w:w="740" w:type="pct"/>
            <w:tcBorders>
              <w:top w:val="nil"/>
              <w:left w:val="nil"/>
              <w:bottom w:val="single" w:sz="8" w:space="0" w:color="auto"/>
              <w:right w:val="single" w:sz="8" w:space="0" w:color="auto"/>
            </w:tcBorders>
            <w:shd w:val="clear" w:color="auto" w:fill="auto"/>
            <w:vAlign w:val="center"/>
            <w:hideMark/>
          </w:tcPr>
          <w:p w14:paraId="526D14FE" w14:textId="77777777" w:rsidR="00241D2C" w:rsidRPr="00241D2C" w:rsidRDefault="00241D2C" w:rsidP="00241D2C">
            <w:pPr>
              <w:spacing w:after="0" w:line="240" w:lineRule="auto"/>
              <w:jc w:val="right"/>
              <w:rPr>
                <w:rFonts w:ascii="Times New Roman" w:eastAsia="Times New Roman" w:hAnsi="Times New Roman" w:cs="Times New Roman"/>
                <w:color w:val="000000"/>
                <w:sz w:val="20"/>
                <w:szCs w:val="20"/>
              </w:rPr>
            </w:pPr>
            <w:r w:rsidRPr="00241D2C">
              <w:rPr>
                <w:rFonts w:ascii="Times New Roman" w:eastAsia="Times New Roman" w:hAnsi="Times New Roman" w:cs="Times New Roman"/>
                <w:color w:val="000000"/>
                <w:sz w:val="20"/>
                <w:szCs w:val="20"/>
              </w:rPr>
              <w:t>2,354,902,546</w:t>
            </w:r>
          </w:p>
        </w:tc>
      </w:tr>
      <w:tr w:rsidR="00241D2C" w:rsidRPr="00241D2C" w14:paraId="1BAF4342" w14:textId="77777777" w:rsidTr="00241D2C">
        <w:trPr>
          <w:trHeight w:val="270"/>
        </w:trPr>
        <w:tc>
          <w:tcPr>
            <w:tcW w:w="1132" w:type="pct"/>
            <w:tcBorders>
              <w:top w:val="nil"/>
              <w:left w:val="single" w:sz="8" w:space="0" w:color="auto"/>
              <w:bottom w:val="single" w:sz="8" w:space="0" w:color="auto"/>
              <w:right w:val="single" w:sz="8" w:space="0" w:color="auto"/>
            </w:tcBorders>
            <w:shd w:val="clear" w:color="auto" w:fill="auto"/>
            <w:vAlign w:val="center"/>
            <w:hideMark/>
          </w:tcPr>
          <w:p w14:paraId="39B45DAD" w14:textId="77777777" w:rsidR="00241D2C" w:rsidRPr="00241D2C" w:rsidRDefault="00241D2C" w:rsidP="00241D2C">
            <w:pPr>
              <w:spacing w:after="0" w:line="240" w:lineRule="auto"/>
              <w:rPr>
                <w:rFonts w:ascii="Times New Roman" w:eastAsia="Times New Roman" w:hAnsi="Times New Roman" w:cs="Times New Roman"/>
                <w:color w:val="000000"/>
                <w:sz w:val="20"/>
                <w:szCs w:val="20"/>
              </w:rPr>
            </w:pPr>
            <w:r w:rsidRPr="00241D2C">
              <w:rPr>
                <w:rFonts w:ascii="Times New Roman" w:eastAsia="Times New Roman" w:hAnsi="Times New Roman" w:cs="Times New Roman"/>
                <w:color w:val="000000"/>
                <w:sz w:val="20"/>
                <w:szCs w:val="20"/>
              </w:rPr>
              <w:t>Development</w:t>
            </w:r>
          </w:p>
        </w:tc>
        <w:tc>
          <w:tcPr>
            <w:tcW w:w="765" w:type="pct"/>
            <w:tcBorders>
              <w:top w:val="nil"/>
              <w:left w:val="nil"/>
              <w:bottom w:val="single" w:sz="8" w:space="0" w:color="auto"/>
              <w:right w:val="single" w:sz="8" w:space="0" w:color="auto"/>
            </w:tcBorders>
            <w:shd w:val="clear" w:color="auto" w:fill="auto"/>
            <w:vAlign w:val="center"/>
            <w:hideMark/>
          </w:tcPr>
          <w:p w14:paraId="577A9B73" w14:textId="77777777" w:rsidR="00241D2C" w:rsidRPr="00241D2C" w:rsidRDefault="00241D2C" w:rsidP="00241D2C">
            <w:pPr>
              <w:spacing w:after="0" w:line="240" w:lineRule="auto"/>
              <w:jc w:val="right"/>
              <w:rPr>
                <w:rFonts w:ascii="Times New Roman" w:eastAsia="Times New Roman" w:hAnsi="Times New Roman" w:cs="Times New Roman"/>
                <w:color w:val="000000"/>
                <w:sz w:val="20"/>
                <w:szCs w:val="20"/>
              </w:rPr>
            </w:pPr>
            <w:r w:rsidRPr="00241D2C">
              <w:rPr>
                <w:rFonts w:ascii="Times New Roman" w:eastAsia="Times New Roman" w:hAnsi="Times New Roman" w:cs="Times New Roman"/>
                <w:color w:val="000000"/>
                <w:sz w:val="20"/>
                <w:szCs w:val="20"/>
              </w:rPr>
              <w:t>4,693,387,113</w:t>
            </w:r>
          </w:p>
        </w:tc>
        <w:tc>
          <w:tcPr>
            <w:tcW w:w="882" w:type="pct"/>
            <w:tcBorders>
              <w:top w:val="nil"/>
              <w:left w:val="nil"/>
              <w:bottom w:val="single" w:sz="8" w:space="0" w:color="auto"/>
              <w:right w:val="single" w:sz="8" w:space="0" w:color="auto"/>
            </w:tcBorders>
            <w:shd w:val="clear" w:color="auto" w:fill="auto"/>
            <w:vAlign w:val="center"/>
            <w:hideMark/>
          </w:tcPr>
          <w:p w14:paraId="15AA704F" w14:textId="77777777" w:rsidR="00241D2C" w:rsidRPr="00241D2C" w:rsidRDefault="00241D2C" w:rsidP="00241D2C">
            <w:pPr>
              <w:spacing w:after="0" w:line="240" w:lineRule="auto"/>
              <w:jc w:val="right"/>
              <w:rPr>
                <w:rFonts w:ascii="Times New Roman" w:eastAsia="Times New Roman" w:hAnsi="Times New Roman" w:cs="Times New Roman"/>
                <w:color w:val="000000"/>
                <w:sz w:val="20"/>
                <w:szCs w:val="20"/>
              </w:rPr>
            </w:pPr>
            <w:r w:rsidRPr="00241D2C">
              <w:rPr>
                <w:rFonts w:ascii="Times New Roman" w:eastAsia="Times New Roman" w:hAnsi="Times New Roman" w:cs="Times New Roman"/>
                <w:color w:val="000000"/>
                <w:sz w:val="20"/>
                <w:szCs w:val="20"/>
              </w:rPr>
              <w:t>3,370,379,537</w:t>
            </w:r>
          </w:p>
        </w:tc>
        <w:tc>
          <w:tcPr>
            <w:tcW w:w="740" w:type="pct"/>
            <w:tcBorders>
              <w:top w:val="nil"/>
              <w:left w:val="nil"/>
              <w:bottom w:val="single" w:sz="8" w:space="0" w:color="auto"/>
              <w:right w:val="single" w:sz="8" w:space="0" w:color="auto"/>
            </w:tcBorders>
            <w:shd w:val="clear" w:color="auto" w:fill="auto"/>
            <w:vAlign w:val="center"/>
            <w:hideMark/>
          </w:tcPr>
          <w:p w14:paraId="46A33EE5" w14:textId="77777777" w:rsidR="00241D2C" w:rsidRPr="00241D2C" w:rsidRDefault="00241D2C" w:rsidP="00241D2C">
            <w:pPr>
              <w:spacing w:after="0" w:line="240" w:lineRule="auto"/>
              <w:jc w:val="right"/>
              <w:rPr>
                <w:rFonts w:ascii="Times New Roman" w:eastAsia="Times New Roman" w:hAnsi="Times New Roman" w:cs="Times New Roman"/>
                <w:color w:val="000000"/>
                <w:sz w:val="20"/>
                <w:szCs w:val="20"/>
              </w:rPr>
            </w:pPr>
            <w:r w:rsidRPr="00241D2C">
              <w:rPr>
                <w:rFonts w:ascii="Times New Roman" w:eastAsia="Times New Roman" w:hAnsi="Times New Roman" w:cs="Times New Roman"/>
                <w:color w:val="000000"/>
                <w:sz w:val="20"/>
                <w:szCs w:val="20"/>
              </w:rPr>
              <w:t>3,131,010,486</w:t>
            </w:r>
          </w:p>
        </w:tc>
        <w:tc>
          <w:tcPr>
            <w:tcW w:w="740" w:type="pct"/>
            <w:tcBorders>
              <w:top w:val="nil"/>
              <w:left w:val="nil"/>
              <w:bottom w:val="single" w:sz="8" w:space="0" w:color="auto"/>
              <w:right w:val="single" w:sz="8" w:space="0" w:color="auto"/>
            </w:tcBorders>
            <w:shd w:val="clear" w:color="auto" w:fill="auto"/>
            <w:vAlign w:val="center"/>
            <w:hideMark/>
          </w:tcPr>
          <w:p w14:paraId="7FB0B9DE" w14:textId="77777777" w:rsidR="00241D2C" w:rsidRPr="00241D2C" w:rsidRDefault="00241D2C" w:rsidP="00241D2C">
            <w:pPr>
              <w:spacing w:after="0" w:line="240" w:lineRule="auto"/>
              <w:jc w:val="right"/>
              <w:rPr>
                <w:rFonts w:ascii="Times New Roman" w:eastAsia="Times New Roman" w:hAnsi="Times New Roman" w:cs="Times New Roman"/>
                <w:color w:val="000000"/>
                <w:sz w:val="20"/>
                <w:szCs w:val="20"/>
              </w:rPr>
            </w:pPr>
            <w:r w:rsidRPr="00241D2C">
              <w:rPr>
                <w:rFonts w:ascii="Times New Roman" w:eastAsia="Times New Roman" w:hAnsi="Times New Roman" w:cs="Times New Roman"/>
                <w:color w:val="000000"/>
                <w:sz w:val="20"/>
                <w:szCs w:val="20"/>
              </w:rPr>
              <w:t>3,222,059,601</w:t>
            </w:r>
          </w:p>
        </w:tc>
        <w:tc>
          <w:tcPr>
            <w:tcW w:w="740" w:type="pct"/>
            <w:tcBorders>
              <w:top w:val="nil"/>
              <w:left w:val="nil"/>
              <w:bottom w:val="single" w:sz="8" w:space="0" w:color="auto"/>
              <w:right w:val="single" w:sz="8" w:space="0" w:color="auto"/>
            </w:tcBorders>
            <w:shd w:val="clear" w:color="auto" w:fill="auto"/>
            <w:vAlign w:val="center"/>
            <w:hideMark/>
          </w:tcPr>
          <w:p w14:paraId="39D78251" w14:textId="77777777" w:rsidR="00241D2C" w:rsidRPr="00241D2C" w:rsidRDefault="00241D2C" w:rsidP="00241D2C">
            <w:pPr>
              <w:spacing w:after="0" w:line="240" w:lineRule="auto"/>
              <w:jc w:val="right"/>
              <w:rPr>
                <w:rFonts w:ascii="Times New Roman" w:eastAsia="Times New Roman" w:hAnsi="Times New Roman" w:cs="Times New Roman"/>
                <w:color w:val="000000"/>
                <w:sz w:val="20"/>
                <w:szCs w:val="20"/>
              </w:rPr>
            </w:pPr>
            <w:r w:rsidRPr="00241D2C">
              <w:rPr>
                <w:rFonts w:ascii="Times New Roman" w:eastAsia="Times New Roman" w:hAnsi="Times New Roman" w:cs="Times New Roman"/>
                <w:color w:val="000000"/>
                <w:sz w:val="20"/>
                <w:szCs w:val="20"/>
              </w:rPr>
              <w:t>3,327,516,389</w:t>
            </w:r>
          </w:p>
        </w:tc>
      </w:tr>
      <w:tr w:rsidR="00241D2C" w:rsidRPr="00241D2C" w14:paraId="2129C5AF" w14:textId="77777777" w:rsidTr="00241D2C">
        <w:trPr>
          <w:trHeight w:val="270"/>
        </w:trPr>
        <w:tc>
          <w:tcPr>
            <w:tcW w:w="1132" w:type="pct"/>
            <w:tcBorders>
              <w:top w:val="nil"/>
              <w:left w:val="single" w:sz="8" w:space="0" w:color="auto"/>
              <w:bottom w:val="single" w:sz="8" w:space="0" w:color="auto"/>
              <w:right w:val="single" w:sz="8" w:space="0" w:color="auto"/>
            </w:tcBorders>
            <w:shd w:val="clear" w:color="auto" w:fill="auto"/>
            <w:vAlign w:val="center"/>
            <w:hideMark/>
          </w:tcPr>
          <w:p w14:paraId="2DB3E8AF" w14:textId="77777777" w:rsidR="00241D2C" w:rsidRPr="00241D2C" w:rsidRDefault="00241D2C" w:rsidP="00241D2C">
            <w:pPr>
              <w:spacing w:after="0" w:line="240" w:lineRule="auto"/>
              <w:rPr>
                <w:rFonts w:ascii="Times New Roman" w:eastAsia="Times New Roman" w:hAnsi="Times New Roman" w:cs="Times New Roman"/>
                <w:b/>
                <w:bCs/>
                <w:color w:val="000000"/>
                <w:sz w:val="20"/>
                <w:szCs w:val="20"/>
              </w:rPr>
            </w:pPr>
            <w:r w:rsidRPr="00241D2C">
              <w:rPr>
                <w:rFonts w:ascii="Times New Roman" w:eastAsia="Times New Roman" w:hAnsi="Times New Roman" w:cs="Times New Roman"/>
                <w:b/>
                <w:bCs/>
                <w:color w:val="000000"/>
                <w:sz w:val="20"/>
                <w:szCs w:val="20"/>
              </w:rPr>
              <w:t>Total</w:t>
            </w:r>
          </w:p>
        </w:tc>
        <w:tc>
          <w:tcPr>
            <w:tcW w:w="765" w:type="pct"/>
            <w:tcBorders>
              <w:top w:val="nil"/>
              <w:left w:val="nil"/>
              <w:bottom w:val="single" w:sz="8" w:space="0" w:color="auto"/>
              <w:right w:val="single" w:sz="8" w:space="0" w:color="auto"/>
            </w:tcBorders>
            <w:shd w:val="clear" w:color="auto" w:fill="auto"/>
            <w:vAlign w:val="center"/>
            <w:hideMark/>
          </w:tcPr>
          <w:p w14:paraId="69F253C5" w14:textId="77777777" w:rsidR="00241D2C" w:rsidRPr="00241D2C" w:rsidRDefault="00241D2C" w:rsidP="00241D2C">
            <w:pPr>
              <w:spacing w:after="0" w:line="240" w:lineRule="auto"/>
              <w:jc w:val="right"/>
              <w:rPr>
                <w:rFonts w:ascii="Times New Roman" w:eastAsia="Times New Roman" w:hAnsi="Times New Roman" w:cs="Times New Roman"/>
                <w:b/>
                <w:bCs/>
                <w:color w:val="000000"/>
                <w:sz w:val="20"/>
                <w:szCs w:val="20"/>
              </w:rPr>
            </w:pPr>
            <w:r w:rsidRPr="00241D2C">
              <w:rPr>
                <w:rFonts w:ascii="Times New Roman" w:eastAsia="Times New Roman" w:hAnsi="Times New Roman" w:cs="Times New Roman"/>
                <w:b/>
                <w:bCs/>
                <w:color w:val="000000"/>
                <w:sz w:val="20"/>
                <w:szCs w:val="20"/>
              </w:rPr>
              <w:t>12,556,097,825</w:t>
            </w:r>
          </w:p>
        </w:tc>
        <w:tc>
          <w:tcPr>
            <w:tcW w:w="882" w:type="pct"/>
            <w:tcBorders>
              <w:top w:val="nil"/>
              <w:left w:val="nil"/>
              <w:bottom w:val="single" w:sz="8" w:space="0" w:color="auto"/>
              <w:right w:val="single" w:sz="8" w:space="0" w:color="auto"/>
            </w:tcBorders>
            <w:shd w:val="clear" w:color="auto" w:fill="auto"/>
            <w:vAlign w:val="center"/>
            <w:hideMark/>
          </w:tcPr>
          <w:p w14:paraId="10849060" w14:textId="77777777" w:rsidR="00241D2C" w:rsidRPr="00241D2C" w:rsidRDefault="00241D2C" w:rsidP="00241D2C">
            <w:pPr>
              <w:spacing w:after="0" w:line="240" w:lineRule="auto"/>
              <w:jc w:val="right"/>
              <w:rPr>
                <w:rFonts w:ascii="Times New Roman" w:eastAsia="Times New Roman" w:hAnsi="Times New Roman" w:cs="Times New Roman"/>
                <w:b/>
                <w:bCs/>
                <w:color w:val="000000"/>
                <w:sz w:val="20"/>
                <w:szCs w:val="20"/>
              </w:rPr>
            </w:pPr>
            <w:r w:rsidRPr="00241D2C">
              <w:rPr>
                <w:rFonts w:ascii="Times New Roman" w:eastAsia="Times New Roman" w:hAnsi="Times New Roman" w:cs="Times New Roman"/>
                <w:b/>
                <w:bCs/>
                <w:color w:val="000000"/>
                <w:sz w:val="20"/>
                <w:szCs w:val="20"/>
              </w:rPr>
              <w:t>10,607,744,925</w:t>
            </w:r>
          </w:p>
        </w:tc>
        <w:tc>
          <w:tcPr>
            <w:tcW w:w="740" w:type="pct"/>
            <w:tcBorders>
              <w:top w:val="nil"/>
              <w:left w:val="nil"/>
              <w:bottom w:val="single" w:sz="8" w:space="0" w:color="auto"/>
              <w:right w:val="single" w:sz="8" w:space="0" w:color="auto"/>
            </w:tcBorders>
            <w:shd w:val="clear" w:color="auto" w:fill="auto"/>
            <w:vAlign w:val="center"/>
            <w:hideMark/>
          </w:tcPr>
          <w:p w14:paraId="48A36441" w14:textId="77777777" w:rsidR="00241D2C" w:rsidRPr="00241D2C" w:rsidRDefault="00241D2C" w:rsidP="00241D2C">
            <w:pPr>
              <w:spacing w:after="0" w:line="240" w:lineRule="auto"/>
              <w:jc w:val="right"/>
              <w:rPr>
                <w:rFonts w:ascii="Times New Roman" w:eastAsia="Times New Roman" w:hAnsi="Times New Roman" w:cs="Times New Roman"/>
                <w:b/>
                <w:bCs/>
                <w:color w:val="000000"/>
                <w:sz w:val="20"/>
                <w:szCs w:val="20"/>
              </w:rPr>
            </w:pPr>
            <w:r w:rsidRPr="00241D2C">
              <w:rPr>
                <w:rFonts w:ascii="Times New Roman" w:eastAsia="Times New Roman" w:hAnsi="Times New Roman" w:cs="Times New Roman"/>
                <w:b/>
                <w:bCs/>
                <w:color w:val="000000"/>
                <w:sz w:val="20"/>
                <w:szCs w:val="20"/>
              </w:rPr>
              <w:t>10,436,701,621</w:t>
            </w:r>
          </w:p>
        </w:tc>
        <w:tc>
          <w:tcPr>
            <w:tcW w:w="740" w:type="pct"/>
            <w:tcBorders>
              <w:top w:val="nil"/>
              <w:left w:val="nil"/>
              <w:bottom w:val="single" w:sz="8" w:space="0" w:color="auto"/>
              <w:right w:val="single" w:sz="8" w:space="0" w:color="auto"/>
            </w:tcBorders>
            <w:shd w:val="clear" w:color="auto" w:fill="auto"/>
            <w:vAlign w:val="center"/>
            <w:hideMark/>
          </w:tcPr>
          <w:p w14:paraId="3F49DFFD" w14:textId="77777777" w:rsidR="00241D2C" w:rsidRPr="00241D2C" w:rsidRDefault="00241D2C" w:rsidP="00241D2C">
            <w:pPr>
              <w:spacing w:after="0" w:line="240" w:lineRule="auto"/>
              <w:jc w:val="right"/>
              <w:rPr>
                <w:rFonts w:ascii="Times New Roman" w:eastAsia="Times New Roman" w:hAnsi="Times New Roman" w:cs="Times New Roman"/>
                <w:b/>
                <w:bCs/>
                <w:color w:val="000000"/>
                <w:sz w:val="20"/>
                <w:szCs w:val="20"/>
              </w:rPr>
            </w:pPr>
            <w:r w:rsidRPr="00241D2C">
              <w:rPr>
                <w:rFonts w:ascii="Times New Roman" w:eastAsia="Times New Roman" w:hAnsi="Times New Roman" w:cs="Times New Roman"/>
                <w:b/>
                <w:bCs/>
                <w:color w:val="000000"/>
                <w:sz w:val="20"/>
                <w:szCs w:val="20"/>
              </w:rPr>
              <w:t>10,746,921,469</w:t>
            </w:r>
          </w:p>
        </w:tc>
        <w:tc>
          <w:tcPr>
            <w:tcW w:w="740" w:type="pct"/>
            <w:tcBorders>
              <w:top w:val="nil"/>
              <w:left w:val="nil"/>
              <w:bottom w:val="single" w:sz="8" w:space="0" w:color="auto"/>
              <w:right w:val="single" w:sz="8" w:space="0" w:color="auto"/>
            </w:tcBorders>
            <w:shd w:val="clear" w:color="auto" w:fill="auto"/>
            <w:vAlign w:val="center"/>
            <w:hideMark/>
          </w:tcPr>
          <w:p w14:paraId="1022C69A" w14:textId="77777777" w:rsidR="00241D2C" w:rsidRPr="00241D2C" w:rsidRDefault="00241D2C" w:rsidP="00241D2C">
            <w:pPr>
              <w:spacing w:after="0" w:line="240" w:lineRule="auto"/>
              <w:jc w:val="right"/>
              <w:rPr>
                <w:rFonts w:ascii="Times New Roman" w:eastAsia="Times New Roman" w:hAnsi="Times New Roman" w:cs="Times New Roman"/>
                <w:b/>
                <w:bCs/>
                <w:color w:val="000000"/>
                <w:sz w:val="20"/>
                <w:szCs w:val="20"/>
              </w:rPr>
            </w:pPr>
            <w:r w:rsidRPr="00241D2C">
              <w:rPr>
                <w:rFonts w:ascii="Times New Roman" w:eastAsia="Times New Roman" w:hAnsi="Times New Roman" w:cs="Times New Roman"/>
                <w:b/>
                <w:bCs/>
                <w:color w:val="000000"/>
                <w:sz w:val="20"/>
                <w:szCs w:val="20"/>
              </w:rPr>
              <w:t>11,078,124,113</w:t>
            </w:r>
          </w:p>
        </w:tc>
      </w:tr>
    </w:tbl>
    <w:p w14:paraId="25777178" w14:textId="77777777" w:rsidR="00241D2C" w:rsidRDefault="00644BA2" w:rsidP="006C55DB">
      <w:pPr>
        <w:spacing w:before="7" w:after="167" w:line="272" w:lineRule="exact"/>
        <w:rPr>
          <w:rFonts w:ascii="Times New Roman" w:hAnsi="Times New Roman" w:cs="Times New Roman"/>
          <w:noProof/>
          <w:sz w:val="24"/>
          <w:szCs w:val="24"/>
        </w:rPr>
      </w:pPr>
      <w:r w:rsidRPr="00766EF1">
        <w:rPr>
          <w:rFonts w:ascii="Times New Roman" w:hAnsi="Times New Roman" w:cs="Times New Roman"/>
          <w:noProof/>
          <w:sz w:val="24"/>
          <w:szCs w:val="24"/>
        </w:rPr>
        <w:t xml:space="preserve"> </w:t>
      </w:r>
    </w:p>
    <w:p w14:paraId="6FDBDCBD" w14:textId="77777777" w:rsidR="00241D2C" w:rsidRDefault="00241D2C" w:rsidP="006C55DB">
      <w:pPr>
        <w:spacing w:before="7" w:after="167" w:line="272" w:lineRule="exact"/>
        <w:rPr>
          <w:rFonts w:ascii="Times New Roman" w:hAnsi="Times New Roman" w:cs="Times New Roman"/>
          <w:noProof/>
          <w:sz w:val="24"/>
          <w:szCs w:val="24"/>
        </w:rPr>
      </w:pPr>
    </w:p>
    <w:p w14:paraId="2A2D18EF" w14:textId="7248D9E3" w:rsidR="00440136" w:rsidRPr="00766EF1" w:rsidRDefault="006C55DB" w:rsidP="006C55DB">
      <w:pPr>
        <w:spacing w:before="7" w:after="167" w:line="272" w:lineRule="exact"/>
        <w:rPr>
          <w:rFonts w:ascii="Times New Roman" w:hAnsi="Times New Roman" w:cs="Times New Roman"/>
          <w:b/>
          <w:bCs/>
          <w:spacing w:val="2"/>
          <w:sz w:val="24"/>
          <w:szCs w:val="24"/>
        </w:rPr>
      </w:pPr>
      <w:r w:rsidRPr="00766EF1">
        <w:rPr>
          <w:rFonts w:ascii="Times New Roman" w:hAnsi="Times New Roman" w:cs="Times New Roman"/>
          <w:noProof/>
          <w:sz w:val="24"/>
          <w:szCs w:val="24"/>
        </w:rPr>
        <mc:AlternateContent>
          <mc:Choice Requires="wps">
            <w:drawing>
              <wp:anchor distT="0" distB="0" distL="0" distR="0" simplePos="0" relativeHeight="251656704" behindDoc="0" locked="0" layoutInCell="0" allowOverlap="1" wp14:anchorId="04E9A8B6" wp14:editId="12F9F5FB">
                <wp:simplePos x="0" y="0"/>
                <wp:positionH relativeFrom="column">
                  <wp:posOffset>0</wp:posOffset>
                </wp:positionH>
                <wp:positionV relativeFrom="paragraph">
                  <wp:posOffset>7851775</wp:posOffset>
                </wp:positionV>
                <wp:extent cx="5829935" cy="0"/>
                <wp:effectExtent l="0" t="0" r="0" b="0"/>
                <wp:wrapSquare wrapText="bothSides"/>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935" cy="0"/>
                        </a:xfrm>
                        <a:prstGeom prst="line">
                          <a:avLst/>
                        </a:prstGeom>
                        <a:noFill/>
                        <a:ln w="8890">
                          <a:solidFill>
                            <a:srgbClr val="D9D9D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069D74" id="Straight Connector 21" o:spid="_x0000_s1026" style="position:absolute;z-index:25165670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0,618.25pt" to="459.05pt,61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" o:allowincell="f" strokecolor="#d9d9d9" strokeweight=".7pt">
                <w10:wrap type="square"/>
              </v:line>
            </w:pict>
          </mc:Fallback>
        </mc:AlternateContent>
      </w:r>
    </w:p>
    <w:p w14:paraId="27D41BFE" w14:textId="7E7E8349" w:rsidR="008C4F83" w:rsidRPr="008956E9" w:rsidRDefault="008956E9" w:rsidP="008956E9">
      <w:pPr>
        <w:pStyle w:val="Heading2"/>
        <w:rPr>
          <w:rFonts w:ascii="Times New Roman" w:hAnsi="Times New Roman" w:cs="Times New Roman"/>
          <w:color w:val="auto"/>
        </w:rPr>
      </w:pPr>
      <w:bookmarkStart w:id="77" w:name="_Toc23266846"/>
      <w:r>
        <w:rPr>
          <w:rFonts w:ascii="Times New Roman" w:hAnsi="Times New Roman" w:cs="Times New Roman"/>
          <w:color w:val="auto"/>
        </w:rPr>
        <w:t xml:space="preserve">4.5 </w:t>
      </w:r>
      <w:r w:rsidR="0014245A" w:rsidRPr="008956E9">
        <w:rPr>
          <w:rFonts w:ascii="Times New Roman" w:hAnsi="Times New Roman" w:cs="Times New Roman"/>
          <w:color w:val="auto"/>
        </w:rPr>
        <w:t>Projected Fiscal Balance</w:t>
      </w:r>
      <w:bookmarkEnd w:id="77"/>
    </w:p>
    <w:p w14:paraId="62EE63BD" w14:textId="77777777" w:rsidR="002123D0" w:rsidRPr="002123D0" w:rsidRDefault="002123D0" w:rsidP="002123D0">
      <w:pPr>
        <w:rPr>
          <w:rFonts w:ascii="Times New Roman" w:hAnsi="Times New Roman" w:cs="Times New Roman"/>
          <w:sz w:val="24"/>
          <w:szCs w:val="24"/>
        </w:rPr>
      </w:pPr>
      <w:r w:rsidRPr="002123D0">
        <w:rPr>
          <w:rFonts w:ascii="Times New Roman" w:hAnsi="Times New Roman" w:cs="Times New Roman"/>
          <w:sz w:val="24"/>
          <w:szCs w:val="24"/>
        </w:rPr>
        <w:t>The proposed FY 2020/21 county budget is balanced, but however, any shortfall in revenue that may occur within the year will be addressed through supplementary or borrowing within the borrowing framework by sub-nationals as approved by the Intergovernmental Budget and Economic Forum (IBEC).</w:t>
      </w:r>
    </w:p>
    <w:p w14:paraId="6E753F38" w14:textId="77777777" w:rsidR="002123D0" w:rsidRPr="002123D0" w:rsidRDefault="002123D0" w:rsidP="002123D0">
      <w:pPr>
        <w:pStyle w:val="ListParagraph"/>
        <w:ind w:left="360"/>
        <w:rPr>
          <w:rFonts w:ascii="Times New Roman" w:hAnsi="Times New Roman" w:cs="Times New Roman"/>
          <w:sz w:val="24"/>
          <w:szCs w:val="24"/>
        </w:rPr>
      </w:pPr>
    </w:p>
    <w:p w14:paraId="0F42A8C8" w14:textId="63099E09" w:rsidR="008C4F83" w:rsidRPr="00766EF1" w:rsidRDefault="008C4F83" w:rsidP="008C4F83">
      <w:pPr>
        <w:rPr>
          <w:rFonts w:ascii="Times New Roman" w:hAnsi="Times New Roman" w:cs="Times New Roman"/>
          <w:sz w:val="24"/>
          <w:szCs w:val="24"/>
        </w:rPr>
      </w:pPr>
    </w:p>
    <w:p w14:paraId="0B51BB67" w14:textId="77777777" w:rsidR="0014245A" w:rsidRPr="00766EF1" w:rsidRDefault="0014245A" w:rsidP="00542DE0">
      <w:pPr>
        <w:rPr>
          <w:rFonts w:ascii="Times New Roman" w:hAnsi="Times New Roman" w:cs="Times New Roman"/>
          <w:sz w:val="24"/>
          <w:szCs w:val="24"/>
        </w:rPr>
      </w:pPr>
    </w:p>
    <w:p w14:paraId="598F217A" w14:textId="77777777" w:rsidR="00DB30B9" w:rsidRPr="00766EF1" w:rsidRDefault="00DB30B9" w:rsidP="003B407E">
      <w:pPr>
        <w:spacing w:line="360" w:lineRule="auto"/>
        <w:jc w:val="both"/>
        <w:rPr>
          <w:rFonts w:ascii="Times New Roman" w:hAnsi="Times New Roman" w:cs="Times New Roman"/>
          <w:sz w:val="24"/>
          <w:szCs w:val="24"/>
        </w:rPr>
        <w:sectPr w:rsidR="00DB30B9" w:rsidRPr="00766EF1" w:rsidSect="00577BFF">
          <w:type w:val="continuous"/>
          <w:pgSz w:w="11907" w:h="16839" w:code="9"/>
          <w:pgMar w:top="1440" w:right="1440" w:bottom="1440" w:left="1440" w:header="720" w:footer="720" w:gutter="0"/>
          <w:cols w:space="720"/>
          <w:docGrid w:linePitch="360"/>
        </w:sectPr>
      </w:pPr>
    </w:p>
    <w:p w14:paraId="630434F6" w14:textId="2B6D06B5" w:rsidR="00461C69" w:rsidRPr="00766EF1" w:rsidRDefault="00DB30B9" w:rsidP="006F2DE2">
      <w:pPr>
        <w:pStyle w:val="Heading1"/>
        <w:numPr>
          <w:ilvl w:val="0"/>
          <w:numId w:val="27"/>
        </w:numPr>
        <w:pBdr>
          <w:bottom w:val="single" w:sz="4" w:space="1" w:color="auto"/>
        </w:pBdr>
        <w:spacing w:after="240"/>
        <w:rPr>
          <w:rFonts w:ascii="Times New Roman" w:hAnsi="Times New Roman" w:cs="Times New Roman"/>
          <w:color w:val="auto"/>
          <w:sz w:val="24"/>
          <w:szCs w:val="24"/>
        </w:rPr>
      </w:pPr>
      <w:bookmarkStart w:id="78" w:name="_Toc23266847"/>
      <w:r w:rsidRPr="00766EF1">
        <w:rPr>
          <w:rFonts w:ascii="Times New Roman" w:hAnsi="Times New Roman" w:cs="Times New Roman"/>
          <w:color w:val="auto"/>
          <w:sz w:val="24"/>
          <w:szCs w:val="24"/>
        </w:rPr>
        <w:lastRenderedPageBreak/>
        <w:t>CONCLUSION</w:t>
      </w:r>
      <w:bookmarkEnd w:id="78"/>
      <w:r w:rsidRPr="00766EF1">
        <w:rPr>
          <w:rFonts w:ascii="Times New Roman" w:hAnsi="Times New Roman" w:cs="Times New Roman"/>
          <w:color w:val="auto"/>
          <w:sz w:val="24"/>
          <w:szCs w:val="24"/>
        </w:rPr>
        <w:t xml:space="preserve"> </w:t>
      </w:r>
    </w:p>
    <w:p w14:paraId="10C4B2E3" w14:textId="77777777" w:rsidR="00EF76DF" w:rsidRPr="00EF76DF" w:rsidRDefault="00EF76DF" w:rsidP="00EF76DF">
      <w:pPr>
        <w:rPr>
          <w:rFonts w:ascii="Times New Roman" w:hAnsi="Times New Roman" w:cs="Times New Roman"/>
          <w:sz w:val="24"/>
          <w:szCs w:val="24"/>
        </w:rPr>
      </w:pPr>
      <w:r w:rsidRPr="00EF76DF">
        <w:rPr>
          <w:rFonts w:ascii="Times New Roman" w:hAnsi="Times New Roman" w:cs="Times New Roman"/>
          <w:sz w:val="24"/>
          <w:szCs w:val="24"/>
        </w:rPr>
        <w:t>The FY 2019/20 budget is being prepared within the context of a moderate global economic recovery. As the National Government scales up the implementation of “The Big Four” Plan, the County Government has also aligned the County Integrated Development Plan and the Annual Development Plans to ensure that the County Specific targeted interventions are funded and implemented. The aim of the MTEF is therefore to strike an appropriate balance between support for growth and continued fiscal discipline while providing room for the implementation of the CIDP 2018-2022.</w:t>
      </w:r>
    </w:p>
    <w:p w14:paraId="650F7139" w14:textId="77777777" w:rsidR="00EF76DF" w:rsidRPr="00EF76DF" w:rsidRDefault="00EF76DF" w:rsidP="00EF76DF">
      <w:pPr>
        <w:rPr>
          <w:rFonts w:ascii="Times New Roman" w:hAnsi="Times New Roman" w:cs="Times New Roman"/>
          <w:sz w:val="24"/>
          <w:szCs w:val="24"/>
        </w:rPr>
      </w:pPr>
      <w:r w:rsidRPr="00EF76DF">
        <w:rPr>
          <w:rFonts w:ascii="Times New Roman" w:hAnsi="Times New Roman" w:cs="Times New Roman"/>
          <w:sz w:val="24"/>
          <w:szCs w:val="24"/>
        </w:rPr>
        <w:t>CBROP is one of the budget documents purposed to enhance financial discipline and fiscal responsibilities within the county’s financial management framework; an important document in the budget making process within the Medium Term Expenditure Framework. The document details the actual fiscal performance for the previous financial year with deviations from the budget appropriation. It also details how actual financial performance for the previous financial year may have affected compliance with the responsibility principles. Further the updated macroeconomic outlook provides a basis for any budget revision. It also set out broad fiscal parameters for the next budget.</w:t>
      </w:r>
    </w:p>
    <w:p w14:paraId="1C7791D8" w14:textId="77777777" w:rsidR="00EF76DF" w:rsidRPr="00EF76DF" w:rsidRDefault="00EF76DF" w:rsidP="00EF76DF">
      <w:pPr>
        <w:rPr>
          <w:rFonts w:ascii="Times New Roman" w:hAnsi="Times New Roman" w:cs="Times New Roman"/>
          <w:sz w:val="24"/>
          <w:szCs w:val="24"/>
        </w:rPr>
      </w:pPr>
      <w:r w:rsidRPr="00EF76DF">
        <w:rPr>
          <w:rFonts w:ascii="Times New Roman" w:hAnsi="Times New Roman" w:cs="Times New Roman"/>
          <w:sz w:val="24"/>
          <w:szCs w:val="24"/>
        </w:rPr>
        <w:t xml:space="preserve">To create fiscal space and guarantee appropriate phasing of expenditure programmes, sectors and the Sector Working Groups will be required to conduct a thorough scrutiny of all proposed activities and Budgets for FY 2019/20 to ensure that they are not only directed towards improving productivity but also aligned to the achievement of the CIDP aspirations. As such, the fiscal strategy in this CBROP will focus on enhancing overall revenue collection and reallocating resources to the priorities across the sectors as envisaged in the CIDP. </w:t>
      </w:r>
    </w:p>
    <w:p w14:paraId="0FAA3203" w14:textId="5F66F6D2" w:rsidR="000B1E97" w:rsidRDefault="00EF76DF" w:rsidP="00EF76DF">
      <w:pPr>
        <w:rPr>
          <w:rFonts w:ascii="Times New Roman" w:eastAsiaTheme="majorEastAsia" w:hAnsi="Times New Roman" w:cs="Times New Roman"/>
          <w:b/>
          <w:bCs/>
          <w:sz w:val="24"/>
          <w:szCs w:val="24"/>
        </w:rPr>
      </w:pPr>
      <w:r w:rsidRPr="00EF76DF">
        <w:rPr>
          <w:rFonts w:ascii="Times New Roman" w:hAnsi="Times New Roman" w:cs="Times New Roman"/>
          <w:sz w:val="24"/>
          <w:szCs w:val="24"/>
        </w:rPr>
        <w:t>The County government will continue to ensure that the budget is strictly followed and service delivery is given focal attention to achieve the set objectives. The resource ceilings projected in this document should guide the Sector Working Groups to prioritize the key programmes and projects contained in the Annual Development Plan 2019/20 to ensure consistency in the development interventions of the County. The SWGs are required to prepare medium-term budgets that are consistent with the Medium-Term Fiscal Framework. The resource envelope for each Sector has been provided under table 2.5. These ceilings wil</w:t>
      </w:r>
      <w:r w:rsidR="00241D2C">
        <w:rPr>
          <w:rFonts w:ascii="Times New Roman" w:hAnsi="Times New Roman" w:cs="Times New Roman"/>
          <w:sz w:val="24"/>
          <w:szCs w:val="24"/>
        </w:rPr>
        <w:t>l form inputs into the CFSP 2020</w:t>
      </w:r>
      <w:r w:rsidRPr="00EF76DF">
        <w:rPr>
          <w:rFonts w:ascii="Times New Roman" w:hAnsi="Times New Roman" w:cs="Times New Roman"/>
          <w:sz w:val="24"/>
          <w:szCs w:val="24"/>
        </w:rPr>
        <w:t xml:space="preserve"> which will be finalized by the 28 February 2020</w:t>
      </w:r>
      <w:r w:rsidR="008956E9">
        <w:rPr>
          <w:rFonts w:ascii="Times New Roman" w:hAnsi="Times New Roman" w:cs="Times New Roman"/>
          <w:sz w:val="24"/>
          <w:szCs w:val="24"/>
        </w:rPr>
        <w:t>.</w:t>
      </w:r>
    </w:p>
    <w:sectPr w:rsidR="000B1E97" w:rsidSect="00D74A81">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942C17" w14:textId="77777777" w:rsidR="00402FDE" w:rsidRDefault="00402FDE" w:rsidP="00611BF7">
      <w:pPr>
        <w:spacing w:after="0" w:line="240" w:lineRule="auto"/>
      </w:pPr>
      <w:r>
        <w:separator/>
      </w:r>
    </w:p>
  </w:endnote>
  <w:endnote w:type="continuationSeparator" w:id="0">
    <w:p w14:paraId="5AD5A673" w14:textId="77777777" w:rsidR="00402FDE" w:rsidRDefault="00402FDE" w:rsidP="00611B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iandra GD">
    <w:panose1 w:val="020E0502030308020204"/>
    <w:charset w:val="00"/>
    <w:family w:val="swiss"/>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50485A" w14:textId="51B9456C" w:rsidR="003D1389" w:rsidRDefault="003D1389" w:rsidP="00E4673B">
    <w:pPr>
      <w:pStyle w:val="Footer"/>
      <w:tabs>
        <w:tab w:val="left" w:pos="3510"/>
      </w:tabs>
      <w:rPr>
        <w:rFonts w:asciiTheme="majorHAnsi" w:eastAsiaTheme="majorEastAsia" w:hAnsiTheme="majorHAnsi" w:cstheme="majorBidi"/>
      </w:rPr>
    </w:pP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fldChar w:fldCharType="begin"/>
    </w:r>
    <w:r w:rsidRPr="00E4673B">
      <w:instrText xml:space="preserve"> PAGE   \* MERGEFORMAT </w:instrText>
    </w:r>
    <w:r>
      <w:fldChar w:fldCharType="separate"/>
    </w:r>
    <w:r w:rsidR="00E1784B" w:rsidRPr="00E1784B">
      <w:rPr>
        <w:rFonts w:asciiTheme="majorHAnsi" w:eastAsiaTheme="majorEastAsia" w:hAnsiTheme="majorHAnsi" w:cstheme="majorBidi"/>
        <w:noProof/>
      </w:rPr>
      <w:t>i</w:t>
    </w:r>
    <w:r>
      <w:rPr>
        <w:rFonts w:asciiTheme="majorHAnsi" w:eastAsiaTheme="majorEastAsia" w:hAnsiTheme="majorHAnsi" w:cstheme="majorBidi"/>
        <w:noProof/>
      </w:rPr>
      <w:fldChar w:fldCharType="end"/>
    </w:r>
  </w:p>
  <w:p w14:paraId="65F45DB7" w14:textId="77777777" w:rsidR="003D1389" w:rsidRDefault="003D138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F4DF54" w14:textId="77777777" w:rsidR="003D1389" w:rsidRDefault="003D1389" w:rsidP="00B37408">
    <w:pPr>
      <w:pStyle w:val="Footer"/>
      <w:tabs>
        <w:tab w:val="left" w:pos="3510"/>
      </w:tabs>
      <w:rPr>
        <w:rFonts w:asciiTheme="majorHAnsi" w:eastAsiaTheme="majorEastAsia" w:hAnsiTheme="majorHAnsi" w:cstheme="majorBidi"/>
      </w:rPr>
    </w:pPr>
  </w:p>
  <w:p w14:paraId="69288376" w14:textId="77777777" w:rsidR="003D1389" w:rsidRDefault="003D138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B8F952" w14:textId="77777777" w:rsidR="003D1389" w:rsidRDefault="003D138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967B8F" w14:textId="77777777" w:rsidR="00402FDE" w:rsidRDefault="00402FDE" w:rsidP="00611BF7">
      <w:pPr>
        <w:spacing w:after="0" w:line="240" w:lineRule="auto"/>
      </w:pPr>
      <w:r>
        <w:separator/>
      </w:r>
    </w:p>
  </w:footnote>
  <w:footnote w:type="continuationSeparator" w:id="0">
    <w:p w14:paraId="5C442A64" w14:textId="77777777" w:rsidR="00402FDE" w:rsidRDefault="00402FDE" w:rsidP="00611B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HAnsi" w:eastAsiaTheme="majorEastAsia" w:hAnsiTheme="majorHAnsi" w:cstheme="majorBidi"/>
        <w:i/>
        <w:color w:val="00B0F0"/>
        <w:sz w:val="24"/>
        <w:szCs w:val="24"/>
      </w:rPr>
      <w:alias w:val="Title"/>
      <w:id w:val="-946932676"/>
      <w:showingPlcHdr/>
      <w:dataBinding w:prefixMappings="xmlns:ns0='http://schemas.openxmlformats.org/package/2006/metadata/core-properties' xmlns:ns1='http://purl.org/dc/elements/1.1/'" w:xpath="/ns0:coreProperties[1]/ns1:title[1]" w:storeItemID="{6C3C8BC8-F283-45AE-878A-BAB7291924A1}"/>
      <w:text/>
    </w:sdtPr>
    <w:sdtEndPr/>
    <w:sdtContent>
      <w:p w14:paraId="290818A8" w14:textId="58B43FED" w:rsidR="003D1389" w:rsidRPr="009950FD" w:rsidRDefault="003D1389" w:rsidP="00DB5D15">
        <w:pPr>
          <w:pStyle w:val="Header"/>
          <w:pBdr>
            <w:bottom w:val="thickThinSmallGap" w:sz="24" w:space="1" w:color="622423" w:themeColor="accent2" w:themeShade="7F"/>
          </w:pBdr>
          <w:rPr>
            <w:rFonts w:asciiTheme="majorHAnsi" w:eastAsiaTheme="majorEastAsia" w:hAnsiTheme="majorHAnsi" w:cstheme="majorBidi"/>
            <w:i/>
            <w:sz w:val="24"/>
            <w:szCs w:val="24"/>
          </w:rPr>
        </w:pPr>
        <w:r>
          <w:rPr>
            <w:rFonts w:asciiTheme="majorHAnsi" w:eastAsiaTheme="majorEastAsia" w:hAnsiTheme="majorHAnsi" w:cstheme="majorBidi"/>
            <w:i/>
            <w:color w:val="00B0F0"/>
            <w:sz w:val="24"/>
            <w:szCs w:val="24"/>
          </w:rPr>
          <w:t xml:space="preserve">     </w:t>
        </w:r>
      </w:p>
    </w:sdtContent>
  </w:sdt>
  <w:p w14:paraId="36A6B2F5" w14:textId="77777777" w:rsidR="003D1389" w:rsidRPr="00542F2B" w:rsidRDefault="003D1389" w:rsidP="00542F2B">
    <w:pPr>
      <w:pStyle w:val="Header"/>
      <w:jc w:val="right"/>
      <w:rPr>
        <w:i/>
        <w:color w:val="00B050"/>
        <w:sz w:val="28"/>
        <w:szCs w:val="2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C93CD1" w14:textId="77777777" w:rsidR="003D1389" w:rsidRPr="00D17A8C" w:rsidRDefault="003D1389" w:rsidP="00D17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65E8F"/>
    <w:multiLevelType w:val="multilevel"/>
    <w:tmpl w:val="459A8FC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AA03C0F"/>
    <w:multiLevelType w:val="hybridMultilevel"/>
    <w:tmpl w:val="9AECDB6E"/>
    <w:lvl w:ilvl="0" w:tplc="60EA7022">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37619C"/>
    <w:multiLevelType w:val="hybridMultilevel"/>
    <w:tmpl w:val="CB588AB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9142DF"/>
    <w:multiLevelType w:val="hybridMultilevel"/>
    <w:tmpl w:val="69E052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0A7781B"/>
    <w:multiLevelType w:val="hybridMultilevel"/>
    <w:tmpl w:val="F2F40DDC"/>
    <w:lvl w:ilvl="0" w:tplc="1102FEDC">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F1C259D"/>
    <w:multiLevelType w:val="hybridMultilevel"/>
    <w:tmpl w:val="37029492"/>
    <w:lvl w:ilvl="0" w:tplc="04090019">
      <w:start w:val="3"/>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2C63D18"/>
    <w:multiLevelType w:val="hybridMultilevel"/>
    <w:tmpl w:val="0166EFF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70513F8"/>
    <w:multiLevelType w:val="hybridMultilevel"/>
    <w:tmpl w:val="904C40C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8306915"/>
    <w:multiLevelType w:val="hybridMultilevel"/>
    <w:tmpl w:val="2862B6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9B11566"/>
    <w:multiLevelType w:val="hybridMultilevel"/>
    <w:tmpl w:val="4C4C7FE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B202501"/>
    <w:multiLevelType w:val="hybridMultilevel"/>
    <w:tmpl w:val="F70C1B3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B7C5F30"/>
    <w:multiLevelType w:val="hybridMultilevel"/>
    <w:tmpl w:val="24620AC2"/>
    <w:lvl w:ilvl="0" w:tplc="0409001B">
      <w:start w:val="1"/>
      <w:numFmt w:val="lowerRoman"/>
      <w:lvlText w:val="%1."/>
      <w:lvlJc w:val="righ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305A186F"/>
    <w:multiLevelType w:val="multilevel"/>
    <w:tmpl w:val="36B88004"/>
    <w:lvl w:ilvl="0">
      <w:start w:val="3"/>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CBB01E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F255BE"/>
    <w:multiLevelType w:val="hybridMultilevel"/>
    <w:tmpl w:val="4B1A7A4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81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269030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A4926E3"/>
    <w:multiLevelType w:val="multilevel"/>
    <w:tmpl w:val="0966D0D8"/>
    <w:lvl w:ilvl="0">
      <w:start w:val="1"/>
      <w:numFmt w:val="decimal"/>
      <w:lvlText w:val="%1)"/>
      <w:lvlJc w:val="left"/>
      <w:pPr>
        <w:ind w:left="746" w:firstLine="0"/>
      </w:pPr>
      <w:rPr>
        <w:rFonts w:ascii="Maiandra GD" w:eastAsia="Maiandra GD" w:hAnsi="Maiandra GD" w:cs="Maiandra GD"/>
        <w:b w:val="0"/>
        <w:i w:val="0"/>
        <w:strike w:val="0"/>
        <w:dstrike w:val="0"/>
        <w:color w:val="000000"/>
        <w:position w:val="0"/>
        <w:sz w:val="22"/>
        <w:szCs w:val="22"/>
        <w:u w:val="none" w:color="000000"/>
        <w:shd w:val="clear" w:color="auto" w:fill="auto"/>
        <w:vertAlign w:val="baseline"/>
      </w:rPr>
    </w:lvl>
    <w:lvl w:ilvl="1">
      <w:start w:val="1"/>
      <w:numFmt w:val="lowerLetter"/>
      <w:lvlText w:val="%2)"/>
      <w:lvlJc w:val="left"/>
      <w:pPr>
        <w:ind w:left="1481" w:firstLine="0"/>
      </w:pPr>
      <w:rPr>
        <w:rFonts w:ascii="Maiandra GD" w:eastAsia="Maiandra GD" w:hAnsi="Maiandra GD" w:cs="Maiandra GD"/>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ind w:left="1800" w:firstLine="0"/>
      </w:pPr>
      <w:rPr>
        <w:rFonts w:ascii="Maiandra GD" w:eastAsia="Maiandra GD" w:hAnsi="Maiandra GD" w:cs="Maiandra GD"/>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ind w:left="2520" w:firstLine="0"/>
      </w:pPr>
      <w:rPr>
        <w:rFonts w:ascii="Maiandra GD" w:eastAsia="Maiandra GD" w:hAnsi="Maiandra GD" w:cs="Maiandra GD"/>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ind w:left="3240" w:firstLine="0"/>
      </w:pPr>
      <w:rPr>
        <w:rFonts w:ascii="Maiandra GD" w:eastAsia="Maiandra GD" w:hAnsi="Maiandra GD" w:cs="Maiandra GD"/>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ind w:left="3960" w:firstLine="0"/>
      </w:pPr>
      <w:rPr>
        <w:rFonts w:ascii="Maiandra GD" w:eastAsia="Maiandra GD" w:hAnsi="Maiandra GD" w:cs="Maiandra GD"/>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ind w:left="4680" w:firstLine="0"/>
      </w:pPr>
      <w:rPr>
        <w:rFonts w:ascii="Maiandra GD" w:eastAsia="Maiandra GD" w:hAnsi="Maiandra GD" w:cs="Maiandra GD"/>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ind w:left="5400" w:firstLine="0"/>
      </w:pPr>
      <w:rPr>
        <w:rFonts w:ascii="Maiandra GD" w:eastAsia="Maiandra GD" w:hAnsi="Maiandra GD" w:cs="Maiandra GD"/>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ind w:left="6120" w:firstLine="0"/>
      </w:pPr>
      <w:rPr>
        <w:rFonts w:ascii="Maiandra GD" w:eastAsia="Maiandra GD" w:hAnsi="Maiandra GD" w:cs="Maiandra GD"/>
        <w:b w:val="0"/>
        <w:i w:val="0"/>
        <w:strike w:val="0"/>
        <w:dstrike w:val="0"/>
        <w:color w:val="000000"/>
        <w:position w:val="0"/>
        <w:sz w:val="22"/>
        <w:szCs w:val="22"/>
        <w:u w:val="none" w:color="000000"/>
        <w:shd w:val="clear" w:color="auto" w:fill="auto"/>
        <w:vertAlign w:val="baseline"/>
      </w:rPr>
    </w:lvl>
  </w:abstractNum>
  <w:abstractNum w:abstractNumId="17" w15:restartNumberingAfterBreak="0">
    <w:nsid w:val="4CCB5CB6"/>
    <w:multiLevelType w:val="hybridMultilevel"/>
    <w:tmpl w:val="FE803AA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48B32FB"/>
    <w:multiLevelType w:val="hybridMultilevel"/>
    <w:tmpl w:val="F4C613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84F264E"/>
    <w:multiLevelType w:val="multilevel"/>
    <w:tmpl w:val="9326C6FE"/>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15:restartNumberingAfterBreak="0">
    <w:nsid w:val="586D0B39"/>
    <w:multiLevelType w:val="hybridMultilevel"/>
    <w:tmpl w:val="52783EF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8F55A38"/>
    <w:multiLevelType w:val="multilevel"/>
    <w:tmpl w:val="B94073D8"/>
    <w:lvl w:ilvl="0">
      <w:start w:val="1"/>
      <w:numFmt w:val="decimal"/>
      <w:lvlText w:val="%1"/>
      <w:lvlJc w:val="left"/>
      <w:pPr>
        <w:ind w:left="360" w:hanging="360"/>
      </w:pPr>
      <w:rPr>
        <w:rFonts w:hint="default"/>
      </w:rPr>
    </w:lvl>
    <w:lvl w:ilvl="1">
      <w:start w:val="1"/>
      <w:numFmt w:val="decimal"/>
      <w:pStyle w:val="Style1"/>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A2F522C"/>
    <w:multiLevelType w:val="multilevel"/>
    <w:tmpl w:val="2C3ED296"/>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6C733B25"/>
    <w:multiLevelType w:val="hybridMultilevel"/>
    <w:tmpl w:val="034E34DC"/>
    <w:lvl w:ilvl="0" w:tplc="04090001">
      <w:start w:val="1"/>
      <w:numFmt w:val="bullet"/>
      <w:lvlText w:val=""/>
      <w:lvlJc w:val="left"/>
      <w:pPr>
        <w:ind w:left="720" w:hanging="360"/>
      </w:pPr>
      <w:rPr>
        <w:rFonts w:ascii="Symbol" w:hAnsi="Symbol" w:hint="default"/>
      </w:rPr>
    </w:lvl>
    <w:lvl w:ilvl="1" w:tplc="29480252">
      <w:numFmt w:val="bullet"/>
      <w:lvlText w:val="•"/>
      <w:lvlJc w:val="left"/>
      <w:pPr>
        <w:ind w:left="1800" w:hanging="720"/>
      </w:pPr>
      <w:rPr>
        <w:rFonts w:ascii="Calibri" w:eastAsiaTheme="minorEastAsia"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0617957"/>
    <w:multiLevelType w:val="hybridMultilevel"/>
    <w:tmpl w:val="A30EFB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10C2F8A"/>
    <w:multiLevelType w:val="hybridMultilevel"/>
    <w:tmpl w:val="EF3A05F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407747C"/>
    <w:multiLevelType w:val="hybridMultilevel"/>
    <w:tmpl w:val="E87ED8B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07244146">
    <w:abstractNumId w:val="20"/>
  </w:num>
  <w:num w:numId="2" w16cid:durableId="1366758517">
    <w:abstractNumId w:val="1"/>
  </w:num>
  <w:num w:numId="3" w16cid:durableId="867447014">
    <w:abstractNumId w:val="21"/>
  </w:num>
  <w:num w:numId="4" w16cid:durableId="1926955399">
    <w:abstractNumId w:val="24"/>
  </w:num>
  <w:num w:numId="5" w16cid:durableId="462164325">
    <w:abstractNumId w:val="8"/>
  </w:num>
  <w:num w:numId="6" w16cid:durableId="203366583">
    <w:abstractNumId w:val="13"/>
  </w:num>
  <w:num w:numId="7" w16cid:durableId="398863533">
    <w:abstractNumId w:val="15"/>
  </w:num>
  <w:num w:numId="8" w16cid:durableId="1563785743">
    <w:abstractNumId w:val="14"/>
  </w:num>
  <w:num w:numId="9" w16cid:durableId="1716276276">
    <w:abstractNumId w:val="7"/>
  </w:num>
  <w:num w:numId="10" w16cid:durableId="766386834">
    <w:abstractNumId w:val="23"/>
  </w:num>
  <w:num w:numId="11" w16cid:durableId="1641232022">
    <w:abstractNumId w:val="21"/>
  </w:num>
  <w:num w:numId="12" w16cid:durableId="50545144">
    <w:abstractNumId w:val="3"/>
  </w:num>
  <w:num w:numId="13" w16cid:durableId="1605067574">
    <w:abstractNumId w:val="18"/>
  </w:num>
  <w:num w:numId="14" w16cid:durableId="2063944025">
    <w:abstractNumId w:val="10"/>
  </w:num>
  <w:num w:numId="15" w16cid:durableId="73432926">
    <w:abstractNumId w:val="17"/>
  </w:num>
  <w:num w:numId="16" w16cid:durableId="782966376">
    <w:abstractNumId w:val="25"/>
  </w:num>
  <w:num w:numId="17" w16cid:durableId="785545154">
    <w:abstractNumId w:val="9"/>
  </w:num>
  <w:num w:numId="18" w16cid:durableId="669791938">
    <w:abstractNumId w:val="11"/>
  </w:num>
  <w:num w:numId="19" w16cid:durableId="1138184332">
    <w:abstractNumId w:val="12"/>
  </w:num>
  <w:num w:numId="20" w16cid:durableId="1477995046">
    <w:abstractNumId w:val="6"/>
  </w:num>
  <w:num w:numId="21" w16cid:durableId="843280167">
    <w:abstractNumId w:val="2"/>
  </w:num>
  <w:num w:numId="22" w16cid:durableId="329993006">
    <w:abstractNumId w:val="21"/>
    <w:lvlOverride w:ilvl="0">
      <w:startOverride w:val="4"/>
    </w:lvlOverride>
    <w:lvlOverride w:ilvl="1">
      <w:startOverride w:val="2"/>
    </w:lvlOverride>
  </w:num>
  <w:num w:numId="23" w16cid:durableId="1283538135">
    <w:abstractNumId w:val="26"/>
  </w:num>
  <w:num w:numId="24" w16cid:durableId="501706502">
    <w:abstractNumId w:val="0"/>
  </w:num>
  <w:num w:numId="25" w16cid:durableId="1777797023">
    <w:abstractNumId w:val="19"/>
  </w:num>
  <w:num w:numId="26" w16cid:durableId="997610390">
    <w:abstractNumId w:val="22"/>
  </w:num>
  <w:num w:numId="27" w16cid:durableId="459880983">
    <w:abstractNumId w:val="4"/>
  </w:num>
  <w:num w:numId="28" w16cid:durableId="175772004">
    <w:abstractNumId w:val="16"/>
  </w:num>
  <w:num w:numId="29" w16cid:durableId="2040542646">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744C"/>
    <w:rsid w:val="000013BE"/>
    <w:rsid w:val="0000472E"/>
    <w:rsid w:val="00005C0B"/>
    <w:rsid w:val="000107BF"/>
    <w:rsid w:val="000115F2"/>
    <w:rsid w:val="00014FA1"/>
    <w:rsid w:val="000178C6"/>
    <w:rsid w:val="000201D9"/>
    <w:rsid w:val="00020429"/>
    <w:rsid w:val="00021E1A"/>
    <w:rsid w:val="00023242"/>
    <w:rsid w:val="00024664"/>
    <w:rsid w:val="00024CB6"/>
    <w:rsid w:val="00024DF3"/>
    <w:rsid w:val="0002645A"/>
    <w:rsid w:val="000316C0"/>
    <w:rsid w:val="00032394"/>
    <w:rsid w:val="00033FC6"/>
    <w:rsid w:val="000356B9"/>
    <w:rsid w:val="00036980"/>
    <w:rsid w:val="00036BB2"/>
    <w:rsid w:val="000415E4"/>
    <w:rsid w:val="000445D4"/>
    <w:rsid w:val="00044D85"/>
    <w:rsid w:val="000457FC"/>
    <w:rsid w:val="00046F94"/>
    <w:rsid w:val="00047254"/>
    <w:rsid w:val="00050BAC"/>
    <w:rsid w:val="00050CC1"/>
    <w:rsid w:val="00052A47"/>
    <w:rsid w:val="00053808"/>
    <w:rsid w:val="000538E2"/>
    <w:rsid w:val="00056B23"/>
    <w:rsid w:val="000615DF"/>
    <w:rsid w:val="00061CFC"/>
    <w:rsid w:val="00061E8C"/>
    <w:rsid w:val="000622C7"/>
    <w:rsid w:val="00067499"/>
    <w:rsid w:val="0007084B"/>
    <w:rsid w:val="00070E3A"/>
    <w:rsid w:val="00071E1E"/>
    <w:rsid w:val="000746CE"/>
    <w:rsid w:val="0007527F"/>
    <w:rsid w:val="000769D8"/>
    <w:rsid w:val="00076DA0"/>
    <w:rsid w:val="000830B4"/>
    <w:rsid w:val="00084CB4"/>
    <w:rsid w:val="00086199"/>
    <w:rsid w:val="00086364"/>
    <w:rsid w:val="00090650"/>
    <w:rsid w:val="00091F49"/>
    <w:rsid w:val="0009286B"/>
    <w:rsid w:val="0009461E"/>
    <w:rsid w:val="00096AA1"/>
    <w:rsid w:val="000A1CAF"/>
    <w:rsid w:val="000A1DD0"/>
    <w:rsid w:val="000A41BA"/>
    <w:rsid w:val="000B0CA1"/>
    <w:rsid w:val="000B1E97"/>
    <w:rsid w:val="000B4734"/>
    <w:rsid w:val="000B53D5"/>
    <w:rsid w:val="000B5EA4"/>
    <w:rsid w:val="000C40F1"/>
    <w:rsid w:val="000C53F6"/>
    <w:rsid w:val="000C7284"/>
    <w:rsid w:val="000D0EBB"/>
    <w:rsid w:val="000D36AB"/>
    <w:rsid w:val="000D3DE7"/>
    <w:rsid w:val="000D58D3"/>
    <w:rsid w:val="000D7D1A"/>
    <w:rsid w:val="000E14F8"/>
    <w:rsid w:val="000E1998"/>
    <w:rsid w:val="000E1DAD"/>
    <w:rsid w:val="000E215E"/>
    <w:rsid w:val="000E33DA"/>
    <w:rsid w:val="000E347C"/>
    <w:rsid w:val="000E3ED0"/>
    <w:rsid w:val="000E4F35"/>
    <w:rsid w:val="000E7DCB"/>
    <w:rsid w:val="000F19A9"/>
    <w:rsid w:val="000F285D"/>
    <w:rsid w:val="000F391F"/>
    <w:rsid w:val="000F4156"/>
    <w:rsid w:val="000F51F8"/>
    <w:rsid w:val="000F59A7"/>
    <w:rsid w:val="000F5DE2"/>
    <w:rsid w:val="001007BC"/>
    <w:rsid w:val="00100D6D"/>
    <w:rsid w:val="00104AE4"/>
    <w:rsid w:val="001068E8"/>
    <w:rsid w:val="00110698"/>
    <w:rsid w:val="00111A33"/>
    <w:rsid w:val="00114797"/>
    <w:rsid w:val="001154EB"/>
    <w:rsid w:val="0012413C"/>
    <w:rsid w:val="00125EC2"/>
    <w:rsid w:val="001264FB"/>
    <w:rsid w:val="00126B12"/>
    <w:rsid w:val="001308C2"/>
    <w:rsid w:val="001410FB"/>
    <w:rsid w:val="00141292"/>
    <w:rsid w:val="0014245A"/>
    <w:rsid w:val="00143D13"/>
    <w:rsid w:val="0014535E"/>
    <w:rsid w:val="00147AF2"/>
    <w:rsid w:val="00152C8F"/>
    <w:rsid w:val="001540E7"/>
    <w:rsid w:val="0015453E"/>
    <w:rsid w:val="001547A4"/>
    <w:rsid w:val="0015637D"/>
    <w:rsid w:val="00160371"/>
    <w:rsid w:val="00166061"/>
    <w:rsid w:val="0016688D"/>
    <w:rsid w:val="001703F8"/>
    <w:rsid w:val="001708B0"/>
    <w:rsid w:val="0017335A"/>
    <w:rsid w:val="00176595"/>
    <w:rsid w:val="0017711E"/>
    <w:rsid w:val="0018285F"/>
    <w:rsid w:val="00185224"/>
    <w:rsid w:val="00187507"/>
    <w:rsid w:val="00192E4D"/>
    <w:rsid w:val="001943E7"/>
    <w:rsid w:val="00194848"/>
    <w:rsid w:val="00194947"/>
    <w:rsid w:val="00196627"/>
    <w:rsid w:val="0019706B"/>
    <w:rsid w:val="0019777B"/>
    <w:rsid w:val="00197ED3"/>
    <w:rsid w:val="001A125D"/>
    <w:rsid w:val="001A1F73"/>
    <w:rsid w:val="001A29CC"/>
    <w:rsid w:val="001A3046"/>
    <w:rsid w:val="001A4001"/>
    <w:rsid w:val="001A4E59"/>
    <w:rsid w:val="001A6F3C"/>
    <w:rsid w:val="001A7FB3"/>
    <w:rsid w:val="001B2820"/>
    <w:rsid w:val="001B28A2"/>
    <w:rsid w:val="001B6B71"/>
    <w:rsid w:val="001C013C"/>
    <w:rsid w:val="001C076C"/>
    <w:rsid w:val="001C0F6E"/>
    <w:rsid w:val="001C1A3F"/>
    <w:rsid w:val="001C48C3"/>
    <w:rsid w:val="001C6469"/>
    <w:rsid w:val="001C6C77"/>
    <w:rsid w:val="001C7707"/>
    <w:rsid w:val="001D3100"/>
    <w:rsid w:val="001D4775"/>
    <w:rsid w:val="001D6178"/>
    <w:rsid w:val="001E1385"/>
    <w:rsid w:val="001E1D3E"/>
    <w:rsid w:val="001E2C93"/>
    <w:rsid w:val="001E3BCB"/>
    <w:rsid w:val="001E7212"/>
    <w:rsid w:val="001E7D14"/>
    <w:rsid w:val="001F1D4C"/>
    <w:rsid w:val="002012EB"/>
    <w:rsid w:val="00202968"/>
    <w:rsid w:val="00202B58"/>
    <w:rsid w:val="00204F4C"/>
    <w:rsid w:val="00207620"/>
    <w:rsid w:val="00207B9D"/>
    <w:rsid w:val="00212399"/>
    <w:rsid w:val="002123D0"/>
    <w:rsid w:val="00212686"/>
    <w:rsid w:val="00212FBF"/>
    <w:rsid w:val="00213587"/>
    <w:rsid w:val="00214809"/>
    <w:rsid w:val="00214826"/>
    <w:rsid w:val="002154A1"/>
    <w:rsid w:val="002154D6"/>
    <w:rsid w:val="00217A58"/>
    <w:rsid w:val="00220C82"/>
    <w:rsid w:val="0022337B"/>
    <w:rsid w:val="00223805"/>
    <w:rsid w:val="00223FB2"/>
    <w:rsid w:val="00224AA4"/>
    <w:rsid w:val="002253AD"/>
    <w:rsid w:val="00225B0A"/>
    <w:rsid w:val="00226861"/>
    <w:rsid w:val="00233869"/>
    <w:rsid w:val="002344EA"/>
    <w:rsid w:val="002414AA"/>
    <w:rsid w:val="0024156C"/>
    <w:rsid w:val="00241D2C"/>
    <w:rsid w:val="0024285D"/>
    <w:rsid w:val="00243E94"/>
    <w:rsid w:val="00246F31"/>
    <w:rsid w:val="002479EA"/>
    <w:rsid w:val="00250549"/>
    <w:rsid w:val="00251FA1"/>
    <w:rsid w:val="00254DA9"/>
    <w:rsid w:val="00255723"/>
    <w:rsid w:val="00262284"/>
    <w:rsid w:val="00262305"/>
    <w:rsid w:val="00263B05"/>
    <w:rsid w:val="00265055"/>
    <w:rsid w:val="00265810"/>
    <w:rsid w:val="00266A2C"/>
    <w:rsid w:val="00267116"/>
    <w:rsid w:val="00271F9B"/>
    <w:rsid w:val="00273431"/>
    <w:rsid w:val="002743E4"/>
    <w:rsid w:val="00276A36"/>
    <w:rsid w:val="002833D0"/>
    <w:rsid w:val="00286683"/>
    <w:rsid w:val="0029255B"/>
    <w:rsid w:val="00294FBD"/>
    <w:rsid w:val="002A2174"/>
    <w:rsid w:val="002A22A2"/>
    <w:rsid w:val="002A579B"/>
    <w:rsid w:val="002A6235"/>
    <w:rsid w:val="002A671F"/>
    <w:rsid w:val="002B0254"/>
    <w:rsid w:val="002B1900"/>
    <w:rsid w:val="002B5D1B"/>
    <w:rsid w:val="002C0AAE"/>
    <w:rsid w:val="002C1A3A"/>
    <w:rsid w:val="002C4742"/>
    <w:rsid w:val="002C4901"/>
    <w:rsid w:val="002C5003"/>
    <w:rsid w:val="002C5E58"/>
    <w:rsid w:val="002C7A6E"/>
    <w:rsid w:val="002D0475"/>
    <w:rsid w:val="002D0690"/>
    <w:rsid w:val="002D3D3C"/>
    <w:rsid w:val="002D45FC"/>
    <w:rsid w:val="002D6731"/>
    <w:rsid w:val="002E1081"/>
    <w:rsid w:val="002E1BDA"/>
    <w:rsid w:val="002E6DE5"/>
    <w:rsid w:val="002F155F"/>
    <w:rsid w:val="002F21A3"/>
    <w:rsid w:val="002F21FB"/>
    <w:rsid w:val="002F2D7E"/>
    <w:rsid w:val="002F5A68"/>
    <w:rsid w:val="002F64D4"/>
    <w:rsid w:val="00301B9F"/>
    <w:rsid w:val="0030286D"/>
    <w:rsid w:val="00303433"/>
    <w:rsid w:val="0030649F"/>
    <w:rsid w:val="0030657E"/>
    <w:rsid w:val="00315D5C"/>
    <w:rsid w:val="0031610F"/>
    <w:rsid w:val="00317A3D"/>
    <w:rsid w:val="00321038"/>
    <w:rsid w:val="00321C23"/>
    <w:rsid w:val="003233BA"/>
    <w:rsid w:val="00323FFA"/>
    <w:rsid w:val="00324776"/>
    <w:rsid w:val="00325B42"/>
    <w:rsid w:val="00326B79"/>
    <w:rsid w:val="00330BE8"/>
    <w:rsid w:val="00330BFE"/>
    <w:rsid w:val="00331906"/>
    <w:rsid w:val="0033403D"/>
    <w:rsid w:val="00341800"/>
    <w:rsid w:val="00342540"/>
    <w:rsid w:val="003438CD"/>
    <w:rsid w:val="0034609F"/>
    <w:rsid w:val="00347711"/>
    <w:rsid w:val="00354017"/>
    <w:rsid w:val="0035570A"/>
    <w:rsid w:val="003614AC"/>
    <w:rsid w:val="00361D79"/>
    <w:rsid w:val="00362021"/>
    <w:rsid w:val="00362A8A"/>
    <w:rsid w:val="00363AA3"/>
    <w:rsid w:val="003649BA"/>
    <w:rsid w:val="00366B12"/>
    <w:rsid w:val="00366E60"/>
    <w:rsid w:val="00367400"/>
    <w:rsid w:val="00373372"/>
    <w:rsid w:val="00381E31"/>
    <w:rsid w:val="00383364"/>
    <w:rsid w:val="00386D31"/>
    <w:rsid w:val="003873F1"/>
    <w:rsid w:val="00392091"/>
    <w:rsid w:val="00395FB8"/>
    <w:rsid w:val="003A320D"/>
    <w:rsid w:val="003A6822"/>
    <w:rsid w:val="003A7942"/>
    <w:rsid w:val="003B407E"/>
    <w:rsid w:val="003B5F01"/>
    <w:rsid w:val="003B7F22"/>
    <w:rsid w:val="003C2C26"/>
    <w:rsid w:val="003D0590"/>
    <w:rsid w:val="003D12F1"/>
    <w:rsid w:val="003D1389"/>
    <w:rsid w:val="003D1B99"/>
    <w:rsid w:val="003D47D8"/>
    <w:rsid w:val="003D52C2"/>
    <w:rsid w:val="003D63F2"/>
    <w:rsid w:val="003D6B7B"/>
    <w:rsid w:val="003D7052"/>
    <w:rsid w:val="003E0CB6"/>
    <w:rsid w:val="003E26D2"/>
    <w:rsid w:val="003E2D78"/>
    <w:rsid w:val="003E55C4"/>
    <w:rsid w:val="003E5D87"/>
    <w:rsid w:val="003E7486"/>
    <w:rsid w:val="003F099E"/>
    <w:rsid w:val="003F0CF9"/>
    <w:rsid w:val="003F2993"/>
    <w:rsid w:val="003F2F5B"/>
    <w:rsid w:val="003F5A3E"/>
    <w:rsid w:val="003F6AFF"/>
    <w:rsid w:val="003F753F"/>
    <w:rsid w:val="004000F2"/>
    <w:rsid w:val="00400C7F"/>
    <w:rsid w:val="00401B7E"/>
    <w:rsid w:val="00402A62"/>
    <w:rsid w:val="00402ACB"/>
    <w:rsid w:val="00402FDE"/>
    <w:rsid w:val="004041C1"/>
    <w:rsid w:val="004050E6"/>
    <w:rsid w:val="00405593"/>
    <w:rsid w:val="00406A40"/>
    <w:rsid w:val="00407173"/>
    <w:rsid w:val="004072D6"/>
    <w:rsid w:val="00410015"/>
    <w:rsid w:val="00410142"/>
    <w:rsid w:val="004116B0"/>
    <w:rsid w:val="00411C00"/>
    <w:rsid w:val="0041237E"/>
    <w:rsid w:val="00412454"/>
    <w:rsid w:val="004148A4"/>
    <w:rsid w:val="00414BD8"/>
    <w:rsid w:val="00414D98"/>
    <w:rsid w:val="00420A47"/>
    <w:rsid w:val="004235F0"/>
    <w:rsid w:val="004251D7"/>
    <w:rsid w:val="00426918"/>
    <w:rsid w:val="0042695B"/>
    <w:rsid w:val="00430C5B"/>
    <w:rsid w:val="00435BE8"/>
    <w:rsid w:val="0043647B"/>
    <w:rsid w:val="004370D7"/>
    <w:rsid w:val="00440136"/>
    <w:rsid w:val="0044018D"/>
    <w:rsid w:val="004402D0"/>
    <w:rsid w:val="004419DB"/>
    <w:rsid w:val="004432BA"/>
    <w:rsid w:val="00443469"/>
    <w:rsid w:val="00445A8F"/>
    <w:rsid w:val="00447BB6"/>
    <w:rsid w:val="004513EB"/>
    <w:rsid w:val="00452D95"/>
    <w:rsid w:val="004540ED"/>
    <w:rsid w:val="004542D7"/>
    <w:rsid w:val="0045458E"/>
    <w:rsid w:val="0045545D"/>
    <w:rsid w:val="00460D8A"/>
    <w:rsid w:val="00461780"/>
    <w:rsid w:val="00461C69"/>
    <w:rsid w:val="0046273A"/>
    <w:rsid w:val="00463818"/>
    <w:rsid w:val="00465035"/>
    <w:rsid w:val="00472E28"/>
    <w:rsid w:val="00473260"/>
    <w:rsid w:val="004735FA"/>
    <w:rsid w:val="00474D8D"/>
    <w:rsid w:val="00482761"/>
    <w:rsid w:val="004832F0"/>
    <w:rsid w:val="004903C3"/>
    <w:rsid w:val="00491595"/>
    <w:rsid w:val="00493F5D"/>
    <w:rsid w:val="00496011"/>
    <w:rsid w:val="00496EBF"/>
    <w:rsid w:val="00497264"/>
    <w:rsid w:val="004A0621"/>
    <w:rsid w:val="004A1DC1"/>
    <w:rsid w:val="004A38AD"/>
    <w:rsid w:val="004A5018"/>
    <w:rsid w:val="004A5BC7"/>
    <w:rsid w:val="004A6170"/>
    <w:rsid w:val="004A79AC"/>
    <w:rsid w:val="004B13B4"/>
    <w:rsid w:val="004B26A1"/>
    <w:rsid w:val="004B59F4"/>
    <w:rsid w:val="004B691A"/>
    <w:rsid w:val="004C3D3B"/>
    <w:rsid w:val="004C76A5"/>
    <w:rsid w:val="004D1286"/>
    <w:rsid w:val="004D2D7C"/>
    <w:rsid w:val="004D3ED2"/>
    <w:rsid w:val="004D43A3"/>
    <w:rsid w:val="004D779B"/>
    <w:rsid w:val="004D78E4"/>
    <w:rsid w:val="004E19A3"/>
    <w:rsid w:val="004E2627"/>
    <w:rsid w:val="004E264B"/>
    <w:rsid w:val="004E2AEB"/>
    <w:rsid w:val="004E2BAB"/>
    <w:rsid w:val="004E2FA5"/>
    <w:rsid w:val="004E7994"/>
    <w:rsid w:val="004F4A3C"/>
    <w:rsid w:val="004F53EC"/>
    <w:rsid w:val="004F67BE"/>
    <w:rsid w:val="004F76DC"/>
    <w:rsid w:val="00500A6E"/>
    <w:rsid w:val="00501E93"/>
    <w:rsid w:val="00502E8B"/>
    <w:rsid w:val="005072A5"/>
    <w:rsid w:val="005157D6"/>
    <w:rsid w:val="005301E4"/>
    <w:rsid w:val="0053391B"/>
    <w:rsid w:val="005348E9"/>
    <w:rsid w:val="00541CFB"/>
    <w:rsid w:val="00542DE0"/>
    <w:rsid w:val="00542F2B"/>
    <w:rsid w:val="00545BD4"/>
    <w:rsid w:val="00545D3A"/>
    <w:rsid w:val="0055177B"/>
    <w:rsid w:val="00551B78"/>
    <w:rsid w:val="00552AA1"/>
    <w:rsid w:val="0055478D"/>
    <w:rsid w:val="00560A28"/>
    <w:rsid w:val="005633E1"/>
    <w:rsid w:val="005654EB"/>
    <w:rsid w:val="00571036"/>
    <w:rsid w:val="005761C7"/>
    <w:rsid w:val="0057637D"/>
    <w:rsid w:val="00577BFF"/>
    <w:rsid w:val="00580A88"/>
    <w:rsid w:val="00580CF0"/>
    <w:rsid w:val="0058489D"/>
    <w:rsid w:val="00585808"/>
    <w:rsid w:val="0058663A"/>
    <w:rsid w:val="00586B24"/>
    <w:rsid w:val="00592DD8"/>
    <w:rsid w:val="00596FBF"/>
    <w:rsid w:val="0059751C"/>
    <w:rsid w:val="005A04EB"/>
    <w:rsid w:val="005A2812"/>
    <w:rsid w:val="005A29C8"/>
    <w:rsid w:val="005A2AA3"/>
    <w:rsid w:val="005A747F"/>
    <w:rsid w:val="005B0589"/>
    <w:rsid w:val="005B0717"/>
    <w:rsid w:val="005B196D"/>
    <w:rsid w:val="005B3019"/>
    <w:rsid w:val="005B4060"/>
    <w:rsid w:val="005B463D"/>
    <w:rsid w:val="005B46FA"/>
    <w:rsid w:val="005B4D06"/>
    <w:rsid w:val="005B53EA"/>
    <w:rsid w:val="005B5C7C"/>
    <w:rsid w:val="005C4582"/>
    <w:rsid w:val="005C689C"/>
    <w:rsid w:val="005C7520"/>
    <w:rsid w:val="005C7DB1"/>
    <w:rsid w:val="005C7E61"/>
    <w:rsid w:val="005D0E1F"/>
    <w:rsid w:val="005D0E2A"/>
    <w:rsid w:val="005D18F8"/>
    <w:rsid w:val="005D2843"/>
    <w:rsid w:val="005D3662"/>
    <w:rsid w:val="005D462E"/>
    <w:rsid w:val="005D5CCF"/>
    <w:rsid w:val="005D5E16"/>
    <w:rsid w:val="005E05AF"/>
    <w:rsid w:val="005E29D0"/>
    <w:rsid w:val="005E2AC6"/>
    <w:rsid w:val="005E5F9B"/>
    <w:rsid w:val="005F0188"/>
    <w:rsid w:val="005F04BA"/>
    <w:rsid w:val="005F050B"/>
    <w:rsid w:val="005F06AB"/>
    <w:rsid w:val="005F21D2"/>
    <w:rsid w:val="005F4579"/>
    <w:rsid w:val="005F459E"/>
    <w:rsid w:val="006006A7"/>
    <w:rsid w:val="00600CC4"/>
    <w:rsid w:val="006015FF"/>
    <w:rsid w:val="006021F9"/>
    <w:rsid w:val="006068A2"/>
    <w:rsid w:val="00606F55"/>
    <w:rsid w:val="00607668"/>
    <w:rsid w:val="00607933"/>
    <w:rsid w:val="006113D6"/>
    <w:rsid w:val="0061164F"/>
    <w:rsid w:val="00611BF7"/>
    <w:rsid w:val="00612329"/>
    <w:rsid w:val="00613FDE"/>
    <w:rsid w:val="006150DC"/>
    <w:rsid w:val="00615134"/>
    <w:rsid w:val="006153A2"/>
    <w:rsid w:val="00616222"/>
    <w:rsid w:val="006268CC"/>
    <w:rsid w:val="00630244"/>
    <w:rsid w:val="00631583"/>
    <w:rsid w:val="00634D34"/>
    <w:rsid w:val="00635EE2"/>
    <w:rsid w:val="00640AC0"/>
    <w:rsid w:val="00643211"/>
    <w:rsid w:val="0064356B"/>
    <w:rsid w:val="00644B73"/>
    <w:rsid w:val="00644BA2"/>
    <w:rsid w:val="00650A25"/>
    <w:rsid w:val="00650B0D"/>
    <w:rsid w:val="00650C06"/>
    <w:rsid w:val="0065109E"/>
    <w:rsid w:val="00651B2C"/>
    <w:rsid w:val="006548A1"/>
    <w:rsid w:val="0066074D"/>
    <w:rsid w:val="00661EB4"/>
    <w:rsid w:val="00661FB2"/>
    <w:rsid w:val="006622C4"/>
    <w:rsid w:val="0066269A"/>
    <w:rsid w:val="00665E2E"/>
    <w:rsid w:val="0066630B"/>
    <w:rsid w:val="006673AD"/>
    <w:rsid w:val="006728F7"/>
    <w:rsid w:val="0067314D"/>
    <w:rsid w:val="00673521"/>
    <w:rsid w:val="00673E01"/>
    <w:rsid w:val="00677172"/>
    <w:rsid w:val="00680C66"/>
    <w:rsid w:val="00681320"/>
    <w:rsid w:val="00683F2E"/>
    <w:rsid w:val="00685EA6"/>
    <w:rsid w:val="006871C2"/>
    <w:rsid w:val="0068727A"/>
    <w:rsid w:val="00692FEA"/>
    <w:rsid w:val="00694481"/>
    <w:rsid w:val="00694CF4"/>
    <w:rsid w:val="00694F6D"/>
    <w:rsid w:val="0069635F"/>
    <w:rsid w:val="0069674C"/>
    <w:rsid w:val="006A1AA4"/>
    <w:rsid w:val="006A24FA"/>
    <w:rsid w:val="006A2F6A"/>
    <w:rsid w:val="006A493E"/>
    <w:rsid w:val="006A7B43"/>
    <w:rsid w:val="006B5957"/>
    <w:rsid w:val="006B6545"/>
    <w:rsid w:val="006B6FB0"/>
    <w:rsid w:val="006C027D"/>
    <w:rsid w:val="006C1705"/>
    <w:rsid w:val="006C1E07"/>
    <w:rsid w:val="006C22E0"/>
    <w:rsid w:val="006C4673"/>
    <w:rsid w:val="006C47E4"/>
    <w:rsid w:val="006C55AE"/>
    <w:rsid w:val="006C55DB"/>
    <w:rsid w:val="006D2502"/>
    <w:rsid w:val="006D286C"/>
    <w:rsid w:val="006D3C9D"/>
    <w:rsid w:val="006D3CEA"/>
    <w:rsid w:val="006D4B80"/>
    <w:rsid w:val="006D4EA2"/>
    <w:rsid w:val="006D7C8A"/>
    <w:rsid w:val="006E184B"/>
    <w:rsid w:val="006E49CD"/>
    <w:rsid w:val="006F1EAC"/>
    <w:rsid w:val="006F2DE2"/>
    <w:rsid w:val="006F5F97"/>
    <w:rsid w:val="006F7B84"/>
    <w:rsid w:val="007004A4"/>
    <w:rsid w:val="00700B59"/>
    <w:rsid w:val="00702612"/>
    <w:rsid w:val="007032C4"/>
    <w:rsid w:val="00705041"/>
    <w:rsid w:val="00713039"/>
    <w:rsid w:val="0071312B"/>
    <w:rsid w:val="007136D6"/>
    <w:rsid w:val="00714010"/>
    <w:rsid w:val="00715D13"/>
    <w:rsid w:val="007167D2"/>
    <w:rsid w:val="00716E3D"/>
    <w:rsid w:val="007179C1"/>
    <w:rsid w:val="00720F1A"/>
    <w:rsid w:val="00722289"/>
    <w:rsid w:val="007249C9"/>
    <w:rsid w:val="007269D4"/>
    <w:rsid w:val="00732606"/>
    <w:rsid w:val="00733633"/>
    <w:rsid w:val="00740541"/>
    <w:rsid w:val="00741C91"/>
    <w:rsid w:val="00742CB4"/>
    <w:rsid w:val="00742EB1"/>
    <w:rsid w:val="00744C50"/>
    <w:rsid w:val="00744DF9"/>
    <w:rsid w:val="0075120F"/>
    <w:rsid w:val="007520C3"/>
    <w:rsid w:val="007544B2"/>
    <w:rsid w:val="0076176C"/>
    <w:rsid w:val="00761FA5"/>
    <w:rsid w:val="007664D9"/>
    <w:rsid w:val="00766EF1"/>
    <w:rsid w:val="007709A0"/>
    <w:rsid w:val="00771250"/>
    <w:rsid w:val="0077246F"/>
    <w:rsid w:val="007729A5"/>
    <w:rsid w:val="00772F02"/>
    <w:rsid w:val="0077467D"/>
    <w:rsid w:val="007766BA"/>
    <w:rsid w:val="0077695F"/>
    <w:rsid w:val="007807DC"/>
    <w:rsid w:val="007818EE"/>
    <w:rsid w:val="0078253A"/>
    <w:rsid w:val="00782B94"/>
    <w:rsid w:val="00782CBC"/>
    <w:rsid w:val="00782E8E"/>
    <w:rsid w:val="00782FCE"/>
    <w:rsid w:val="00783E4B"/>
    <w:rsid w:val="00785307"/>
    <w:rsid w:val="0078684C"/>
    <w:rsid w:val="007876CE"/>
    <w:rsid w:val="007951B5"/>
    <w:rsid w:val="007959D5"/>
    <w:rsid w:val="007A034B"/>
    <w:rsid w:val="007A143E"/>
    <w:rsid w:val="007A16F4"/>
    <w:rsid w:val="007A26B0"/>
    <w:rsid w:val="007A44EB"/>
    <w:rsid w:val="007A4810"/>
    <w:rsid w:val="007A4AD3"/>
    <w:rsid w:val="007A4FEC"/>
    <w:rsid w:val="007B30AC"/>
    <w:rsid w:val="007B67AD"/>
    <w:rsid w:val="007B7D67"/>
    <w:rsid w:val="007C2892"/>
    <w:rsid w:val="007C3B79"/>
    <w:rsid w:val="007C524E"/>
    <w:rsid w:val="007C615F"/>
    <w:rsid w:val="007D0530"/>
    <w:rsid w:val="007D35D5"/>
    <w:rsid w:val="007D41A9"/>
    <w:rsid w:val="007D6476"/>
    <w:rsid w:val="007D7FAA"/>
    <w:rsid w:val="007E2B88"/>
    <w:rsid w:val="007E5E09"/>
    <w:rsid w:val="007E62AB"/>
    <w:rsid w:val="007E6DCE"/>
    <w:rsid w:val="007F0201"/>
    <w:rsid w:val="007F0CEF"/>
    <w:rsid w:val="007F1955"/>
    <w:rsid w:val="007F297D"/>
    <w:rsid w:val="007F3A5E"/>
    <w:rsid w:val="007F543A"/>
    <w:rsid w:val="007F68CE"/>
    <w:rsid w:val="007F6B23"/>
    <w:rsid w:val="007F71D2"/>
    <w:rsid w:val="007F7E46"/>
    <w:rsid w:val="008002B3"/>
    <w:rsid w:val="008002BD"/>
    <w:rsid w:val="00800FF0"/>
    <w:rsid w:val="00801D7F"/>
    <w:rsid w:val="00802EC5"/>
    <w:rsid w:val="00803726"/>
    <w:rsid w:val="008108BA"/>
    <w:rsid w:val="00810FDD"/>
    <w:rsid w:val="008147CF"/>
    <w:rsid w:val="008177D3"/>
    <w:rsid w:val="00817FD1"/>
    <w:rsid w:val="008220FE"/>
    <w:rsid w:val="00824C15"/>
    <w:rsid w:val="00825C00"/>
    <w:rsid w:val="00827E6F"/>
    <w:rsid w:val="00830BD5"/>
    <w:rsid w:val="008340C6"/>
    <w:rsid w:val="008350FE"/>
    <w:rsid w:val="0083633D"/>
    <w:rsid w:val="00836D2B"/>
    <w:rsid w:val="008410A6"/>
    <w:rsid w:val="008411AD"/>
    <w:rsid w:val="00850B4C"/>
    <w:rsid w:val="008516F1"/>
    <w:rsid w:val="00853BFA"/>
    <w:rsid w:val="00857BB4"/>
    <w:rsid w:val="00862D1E"/>
    <w:rsid w:val="00863FC7"/>
    <w:rsid w:val="00865E23"/>
    <w:rsid w:val="00866A92"/>
    <w:rsid w:val="00870598"/>
    <w:rsid w:val="008707D0"/>
    <w:rsid w:val="008710A8"/>
    <w:rsid w:val="00872593"/>
    <w:rsid w:val="00874B0A"/>
    <w:rsid w:val="00876D27"/>
    <w:rsid w:val="008804E5"/>
    <w:rsid w:val="0088189F"/>
    <w:rsid w:val="0088743E"/>
    <w:rsid w:val="008879EF"/>
    <w:rsid w:val="0089196B"/>
    <w:rsid w:val="008923FE"/>
    <w:rsid w:val="008930AE"/>
    <w:rsid w:val="008944EF"/>
    <w:rsid w:val="008956E9"/>
    <w:rsid w:val="00895D31"/>
    <w:rsid w:val="008A168A"/>
    <w:rsid w:val="008A2303"/>
    <w:rsid w:val="008A27C5"/>
    <w:rsid w:val="008A3061"/>
    <w:rsid w:val="008A5A5C"/>
    <w:rsid w:val="008B0E2B"/>
    <w:rsid w:val="008B4842"/>
    <w:rsid w:val="008C21CE"/>
    <w:rsid w:val="008C4F83"/>
    <w:rsid w:val="008C52EF"/>
    <w:rsid w:val="008C686A"/>
    <w:rsid w:val="008D20A7"/>
    <w:rsid w:val="008D376F"/>
    <w:rsid w:val="008E119E"/>
    <w:rsid w:val="008E3C09"/>
    <w:rsid w:val="008E58C0"/>
    <w:rsid w:val="008E6A03"/>
    <w:rsid w:val="008E75D1"/>
    <w:rsid w:val="008E7C2E"/>
    <w:rsid w:val="008F312E"/>
    <w:rsid w:val="008F33CD"/>
    <w:rsid w:val="008F43B5"/>
    <w:rsid w:val="00901992"/>
    <w:rsid w:val="00904F2F"/>
    <w:rsid w:val="0090583E"/>
    <w:rsid w:val="00911C5B"/>
    <w:rsid w:val="00912A30"/>
    <w:rsid w:val="00914039"/>
    <w:rsid w:val="00914D00"/>
    <w:rsid w:val="00915C81"/>
    <w:rsid w:val="00917E07"/>
    <w:rsid w:val="00920BA7"/>
    <w:rsid w:val="00920ED7"/>
    <w:rsid w:val="00921510"/>
    <w:rsid w:val="00921F80"/>
    <w:rsid w:val="00922443"/>
    <w:rsid w:val="00922635"/>
    <w:rsid w:val="00924490"/>
    <w:rsid w:val="00924FB2"/>
    <w:rsid w:val="00925765"/>
    <w:rsid w:val="00926DAE"/>
    <w:rsid w:val="00926EDB"/>
    <w:rsid w:val="0092767E"/>
    <w:rsid w:val="00927A4C"/>
    <w:rsid w:val="009312CA"/>
    <w:rsid w:val="00937071"/>
    <w:rsid w:val="009409FA"/>
    <w:rsid w:val="00944A64"/>
    <w:rsid w:val="00944CA4"/>
    <w:rsid w:val="00946CE9"/>
    <w:rsid w:val="00946F51"/>
    <w:rsid w:val="00947375"/>
    <w:rsid w:val="00950E58"/>
    <w:rsid w:val="009517C2"/>
    <w:rsid w:val="009565F3"/>
    <w:rsid w:val="0096130E"/>
    <w:rsid w:val="009617DD"/>
    <w:rsid w:val="00961850"/>
    <w:rsid w:val="00962752"/>
    <w:rsid w:val="0096562F"/>
    <w:rsid w:val="00966C5F"/>
    <w:rsid w:val="00967947"/>
    <w:rsid w:val="0097015B"/>
    <w:rsid w:val="00971458"/>
    <w:rsid w:val="009721A0"/>
    <w:rsid w:val="00972BFB"/>
    <w:rsid w:val="0097516D"/>
    <w:rsid w:val="00980A44"/>
    <w:rsid w:val="00980F0E"/>
    <w:rsid w:val="0098137B"/>
    <w:rsid w:val="00983985"/>
    <w:rsid w:val="009858D3"/>
    <w:rsid w:val="00985A7D"/>
    <w:rsid w:val="00987066"/>
    <w:rsid w:val="0099145B"/>
    <w:rsid w:val="00992716"/>
    <w:rsid w:val="00992740"/>
    <w:rsid w:val="0099395D"/>
    <w:rsid w:val="00994920"/>
    <w:rsid w:val="009950FD"/>
    <w:rsid w:val="00995697"/>
    <w:rsid w:val="00995730"/>
    <w:rsid w:val="00996DB6"/>
    <w:rsid w:val="009970CF"/>
    <w:rsid w:val="009A4A48"/>
    <w:rsid w:val="009A5850"/>
    <w:rsid w:val="009A5C2A"/>
    <w:rsid w:val="009A78CD"/>
    <w:rsid w:val="009B148F"/>
    <w:rsid w:val="009B1636"/>
    <w:rsid w:val="009B2867"/>
    <w:rsid w:val="009B2E29"/>
    <w:rsid w:val="009B427D"/>
    <w:rsid w:val="009C20FC"/>
    <w:rsid w:val="009C4A2C"/>
    <w:rsid w:val="009D1572"/>
    <w:rsid w:val="009D2866"/>
    <w:rsid w:val="009D70C6"/>
    <w:rsid w:val="009D76EA"/>
    <w:rsid w:val="009D7F07"/>
    <w:rsid w:val="009E3990"/>
    <w:rsid w:val="009E4103"/>
    <w:rsid w:val="009E522B"/>
    <w:rsid w:val="009E5B0D"/>
    <w:rsid w:val="009F3DE8"/>
    <w:rsid w:val="00A07160"/>
    <w:rsid w:val="00A10F7A"/>
    <w:rsid w:val="00A12D62"/>
    <w:rsid w:val="00A13E33"/>
    <w:rsid w:val="00A14C44"/>
    <w:rsid w:val="00A168C4"/>
    <w:rsid w:val="00A228C5"/>
    <w:rsid w:val="00A22B25"/>
    <w:rsid w:val="00A233BC"/>
    <w:rsid w:val="00A23D9B"/>
    <w:rsid w:val="00A25B74"/>
    <w:rsid w:val="00A30BF9"/>
    <w:rsid w:val="00A33124"/>
    <w:rsid w:val="00A3323A"/>
    <w:rsid w:val="00A35480"/>
    <w:rsid w:val="00A364ED"/>
    <w:rsid w:val="00A45ADE"/>
    <w:rsid w:val="00A51B95"/>
    <w:rsid w:val="00A51CAB"/>
    <w:rsid w:val="00A51D53"/>
    <w:rsid w:val="00A601BE"/>
    <w:rsid w:val="00A603A4"/>
    <w:rsid w:val="00A62FAA"/>
    <w:rsid w:val="00A65D9D"/>
    <w:rsid w:val="00A70267"/>
    <w:rsid w:val="00A70D48"/>
    <w:rsid w:val="00A70E20"/>
    <w:rsid w:val="00A7155B"/>
    <w:rsid w:val="00A7362F"/>
    <w:rsid w:val="00A74E38"/>
    <w:rsid w:val="00A77E4F"/>
    <w:rsid w:val="00A8135F"/>
    <w:rsid w:val="00A84177"/>
    <w:rsid w:val="00A84343"/>
    <w:rsid w:val="00A8479C"/>
    <w:rsid w:val="00A85DBA"/>
    <w:rsid w:val="00A878B9"/>
    <w:rsid w:val="00A87B85"/>
    <w:rsid w:val="00A90488"/>
    <w:rsid w:val="00A90CC0"/>
    <w:rsid w:val="00A91739"/>
    <w:rsid w:val="00A92148"/>
    <w:rsid w:val="00A9215B"/>
    <w:rsid w:val="00A9378B"/>
    <w:rsid w:val="00A9515F"/>
    <w:rsid w:val="00A952D2"/>
    <w:rsid w:val="00A95382"/>
    <w:rsid w:val="00A95B3C"/>
    <w:rsid w:val="00AA2E6D"/>
    <w:rsid w:val="00AA7B82"/>
    <w:rsid w:val="00AB17A9"/>
    <w:rsid w:val="00AB262B"/>
    <w:rsid w:val="00AB2783"/>
    <w:rsid w:val="00AB6F3F"/>
    <w:rsid w:val="00AC1797"/>
    <w:rsid w:val="00AC2899"/>
    <w:rsid w:val="00AC38F2"/>
    <w:rsid w:val="00AC60FF"/>
    <w:rsid w:val="00AC7B7B"/>
    <w:rsid w:val="00AC7F07"/>
    <w:rsid w:val="00AD1DEF"/>
    <w:rsid w:val="00AD2FA2"/>
    <w:rsid w:val="00AD60D5"/>
    <w:rsid w:val="00AD6531"/>
    <w:rsid w:val="00AD69E7"/>
    <w:rsid w:val="00AE0796"/>
    <w:rsid w:val="00AE35CF"/>
    <w:rsid w:val="00AE4088"/>
    <w:rsid w:val="00AE794C"/>
    <w:rsid w:val="00AE7B15"/>
    <w:rsid w:val="00AF1320"/>
    <w:rsid w:val="00AF45F6"/>
    <w:rsid w:val="00B01D61"/>
    <w:rsid w:val="00B0228A"/>
    <w:rsid w:val="00B025CF"/>
    <w:rsid w:val="00B05008"/>
    <w:rsid w:val="00B0548E"/>
    <w:rsid w:val="00B05ED5"/>
    <w:rsid w:val="00B07778"/>
    <w:rsid w:val="00B105AB"/>
    <w:rsid w:val="00B10C73"/>
    <w:rsid w:val="00B11091"/>
    <w:rsid w:val="00B12D95"/>
    <w:rsid w:val="00B12DD8"/>
    <w:rsid w:val="00B142B3"/>
    <w:rsid w:val="00B2259C"/>
    <w:rsid w:val="00B22808"/>
    <w:rsid w:val="00B2284D"/>
    <w:rsid w:val="00B23A9E"/>
    <w:rsid w:val="00B24BB1"/>
    <w:rsid w:val="00B30C65"/>
    <w:rsid w:val="00B33A57"/>
    <w:rsid w:val="00B35D2B"/>
    <w:rsid w:val="00B37408"/>
    <w:rsid w:val="00B37833"/>
    <w:rsid w:val="00B403FB"/>
    <w:rsid w:val="00B40509"/>
    <w:rsid w:val="00B406DE"/>
    <w:rsid w:val="00B4134D"/>
    <w:rsid w:val="00B43460"/>
    <w:rsid w:val="00B44EF0"/>
    <w:rsid w:val="00B45095"/>
    <w:rsid w:val="00B454EE"/>
    <w:rsid w:val="00B456A3"/>
    <w:rsid w:val="00B4708C"/>
    <w:rsid w:val="00B53E85"/>
    <w:rsid w:val="00B54694"/>
    <w:rsid w:val="00B54C30"/>
    <w:rsid w:val="00B55540"/>
    <w:rsid w:val="00B570F3"/>
    <w:rsid w:val="00B66977"/>
    <w:rsid w:val="00B675FC"/>
    <w:rsid w:val="00B7075C"/>
    <w:rsid w:val="00B711CD"/>
    <w:rsid w:val="00B711E2"/>
    <w:rsid w:val="00B71B7D"/>
    <w:rsid w:val="00B728EE"/>
    <w:rsid w:val="00B73DDB"/>
    <w:rsid w:val="00B761B1"/>
    <w:rsid w:val="00B819F1"/>
    <w:rsid w:val="00B832B2"/>
    <w:rsid w:val="00B84987"/>
    <w:rsid w:val="00B85AF5"/>
    <w:rsid w:val="00B8662E"/>
    <w:rsid w:val="00B8706B"/>
    <w:rsid w:val="00B9180F"/>
    <w:rsid w:val="00B93451"/>
    <w:rsid w:val="00B94627"/>
    <w:rsid w:val="00B95ADF"/>
    <w:rsid w:val="00B95BB4"/>
    <w:rsid w:val="00B968BB"/>
    <w:rsid w:val="00B97748"/>
    <w:rsid w:val="00B97CE9"/>
    <w:rsid w:val="00BA078D"/>
    <w:rsid w:val="00BA1486"/>
    <w:rsid w:val="00BA4D86"/>
    <w:rsid w:val="00BA4E00"/>
    <w:rsid w:val="00BA68BD"/>
    <w:rsid w:val="00BA726D"/>
    <w:rsid w:val="00BA7A3E"/>
    <w:rsid w:val="00BA7C98"/>
    <w:rsid w:val="00BB317B"/>
    <w:rsid w:val="00BB34BC"/>
    <w:rsid w:val="00BB4547"/>
    <w:rsid w:val="00BB571A"/>
    <w:rsid w:val="00BB5B29"/>
    <w:rsid w:val="00BB6765"/>
    <w:rsid w:val="00BB72FD"/>
    <w:rsid w:val="00BC1AE9"/>
    <w:rsid w:val="00BC2392"/>
    <w:rsid w:val="00BC4546"/>
    <w:rsid w:val="00BC785E"/>
    <w:rsid w:val="00BC7A57"/>
    <w:rsid w:val="00BC7BBC"/>
    <w:rsid w:val="00BD0022"/>
    <w:rsid w:val="00BD25F3"/>
    <w:rsid w:val="00BD3924"/>
    <w:rsid w:val="00BD41AC"/>
    <w:rsid w:val="00BD52A9"/>
    <w:rsid w:val="00BD5862"/>
    <w:rsid w:val="00BD66FE"/>
    <w:rsid w:val="00BD7A4F"/>
    <w:rsid w:val="00BE299D"/>
    <w:rsid w:val="00BE7759"/>
    <w:rsid w:val="00BE7E02"/>
    <w:rsid w:val="00BE7E0A"/>
    <w:rsid w:val="00BF03FF"/>
    <w:rsid w:val="00BF0473"/>
    <w:rsid w:val="00BF1531"/>
    <w:rsid w:val="00BF1D77"/>
    <w:rsid w:val="00BF5F88"/>
    <w:rsid w:val="00BF7875"/>
    <w:rsid w:val="00C0340D"/>
    <w:rsid w:val="00C07275"/>
    <w:rsid w:val="00C12251"/>
    <w:rsid w:val="00C12399"/>
    <w:rsid w:val="00C12409"/>
    <w:rsid w:val="00C14B75"/>
    <w:rsid w:val="00C1589C"/>
    <w:rsid w:val="00C16A2A"/>
    <w:rsid w:val="00C21A77"/>
    <w:rsid w:val="00C22650"/>
    <w:rsid w:val="00C24FEE"/>
    <w:rsid w:val="00C25E6C"/>
    <w:rsid w:val="00C26BA4"/>
    <w:rsid w:val="00C34E2E"/>
    <w:rsid w:val="00C36829"/>
    <w:rsid w:val="00C37A99"/>
    <w:rsid w:val="00C37CDA"/>
    <w:rsid w:val="00C4418D"/>
    <w:rsid w:val="00C44205"/>
    <w:rsid w:val="00C53B4C"/>
    <w:rsid w:val="00C543FF"/>
    <w:rsid w:val="00C60FD0"/>
    <w:rsid w:val="00C65FA3"/>
    <w:rsid w:val="00C66D73"/>
    <w:rsid w:val="00C70388"/>
    <w:rsid w:val="00C70907"/>
    <w:rsid w:val="00C7207A"/>
    <w:rsid w:val="00C72A7A"/>
    <w:rsid w:val="00C737DC"/>
    <w:rsid w:val="00C7595F"/>
    <w:rsid w:val="00C76CBA"/>
    <w:rsid w:val="00C819FA"/>
    <w:rsid w:val="00C825AD"/>
    <w:rsid w:val="00C85B5D"/>
    <w:rsid w:val="00C865DD"/>
    <w:rsid w:val="00C900E4"/>
    <w:rsid w:val="00C90C54"/>
    <w:rsid w:val="00C93600"/>
    <w:rsid w:val="00C93E41"/>
    <w:rsid w:val="00CA0B9F"/>
    <w:rsid w:val="00CA166A"/>
    <w:rsid w:val="00CA4170"/>
    <w:rsid w:val="00CA64FD"/>
    <w:rsid w:val="00CA6BF4"/>
    <w:rsid w:val="00CA6F79"/>
    <w:rsid w:val="00CA72DE"/>
    <w:rsid w:val="00CB060C"/>
    <w:rsid w:val="00CB19CD"/>
    <w:rsid w:val="00CB2BCD"/>
    <w:rsid w:val="00CB4726"/>
    <w:rsid w:val="00CB53E4"/>
    <w:rsid w:val="00CC11E6"/>
    <w:rsid w:val="00CC1406"/>
    <w:rsid w:val="00CC722A"/>
    <w:rsid w:val="00CC7824"/>
    <w:rsid w:val="00CD0591"/>
    <w:rsid w:val="00CD12D5"/>
    <w:rsid w:val="00CD1C27"/>
    <w:rsid w:val="00CD4171"/>
    <w:rsid w:val="00CE027C"/>
    <w:rsid w:val="00CE1E9B"/>
    <w:rsid w:val="00CE5575"/>
    <w:rsid w:val="00CE566E"/>
    <w:rsid w:val="00CE6B68"/>
    <w:rsid w:val="00CF03DA"/>
    <w:rsid w:val="00CF4FD1"/>
    <w:rsid w:val="00CF58D7"/>
    <w:rsid w:val="00CF683A"/>
    <w:rsid w:val="00CF7714"/>
    <w:rsid w:val="00D043D9"/>
    <w:rsid w:val="00D06575"/>
    <w:rsid w:val="00D073BD"/>
    <w:rsid w:val="00D07CD7"/>
    <w:rsid w:val="00D13C6A"/>
    <w:rsid w:val="00D15546"/>
    <w:rsid w:val="00D156B1"/>
    <w:rsid w:val="00D17A8C"/>
    <w:rsid w:val="00D218A2"/>
    <w:rsid w:val="00D21942"/>
    <w:rsid w:val="00D24ADB"/>
    <w:rsid w:val="00D25B34"/>
    <w:rsid w:val="00D278BF"/>
    <w:rsid w:val="00D3014B"/>
    <w:rsid w:val="00D301FA"/>
    <w:rsid w:val="00D3095B"/>
    <w:rsid w:val="00D31078"/>
    <w:rsid w:val="00D35227"/>
    <w:rsid w:val="00D35E3D"/>
    <w:rsid w:val="00D41CFF"/>
    <w:rsid w:val="00D45853"/>
    <w:rsid w:val="00D46E94"/>
    <w:rsid w:val="00D51AC6"/>
    <w:rsid w:val="00D520EB"/>
    <w:rsid w:val="00D53128"/>
    <w:rsid w:val="00D54898"/>
    <w:rsid w:val="00D550F3"/>
    <w:rsid w:val="00D5697B"/>
    <w:rsid w:val="00D57426"/>
    <w:rsid w:val="00D576E3"/>
    <w:rsid w:val="00D60DF7"/>
    <w:rsid w:val="00D61F48"/>
    <w:rsid w:val="00D625DA"/>
    <w:rsid w:val="00D62C62"/>
    <w:rsid w:val="00D63AE3"/>
    <w:rsid w:val="00D65A6F"/>
    <w:rsid w:val="00D65E93"/>
    <w:rsid w:val="00D70E5A"/>
    <w:rsid w:val="00D719AE"/>
    <w:rsid w:val="00D736BB"/>
    <w:rsid w:val="00D742B0"/>
    <w:rsid w:val="00D74A81"/>
    <w:rsid w:val="00D75973"/>
    <w:rsid w:val="00D83C51"/>
    <w:rsid w:val="00D83D06"/>
    <w:rsid w:val="00D85074"/>
    <w:rsid w:val="00D85A86"/>
    <w:rsid w:val="00D85AD9"/>
    <w:rsid w:val="00D85F9F"/>
    <w:rsid w:val="00D8642F"/>
    <w:rsid w:val="00D9121E"/>
    <w:rsid w:val="00D91DD9"/>
    <w:rsid w:val="00D91EA4"/>
    <w:rsid w:val="00D93293"/>
    <w:rsid w:val="00D95A97"/>
    <w:rsid w:val="00D95B61"/>
    <w:rsid w:val="00DA2BA7"/>
    <w:rsid w:val="00DA4322"/>
    <w:rsid w:val="00DA4EF5"/>
    <w:rsid w:val="00DA510A"/>
    <w:rsid w:val="00DA74EB"/>
    <w:rsid w:val="00DB02C5"/>
    <w:rsid w:val="00DB1165"/>
    <w:rsid w:val="00DB2249"/>
    <w:rsid w:val="00DB2757"/>
    <w:rsid w:val="00DB30B9"/>
    <w:rsid w:val="00DB3E89"/>
    <w:rsid w:val="00DB5413"/>
    <w:rsid w:val="00DB5D15"/>
    <w:rsid w:val="00DC17FB"/>
    <w:rsid w:val="00DC438A"/>
    <w:rsid w:val="00DC51D8"/>
    <w:rsid w:val="00DC5209"/>
    <w:rsid w:val="00DC6A70"/>
    <w:rsid w:val="00DC7896"/>
    <w:rsid w:val="00DD0AB4"/>
    <w:rsid w:val="00DD0F54"/>
    <w:rsid w:val="00DD1047"/>
    <w:rsid w:val="00DD1F09"/>
    <w:rsid w:val="00DD326B"/>
    <w:rsid w:val="00DD411B"/>
    <w:rsid w:val="00DD6818"/>
    <w:rsid w:val="00DD6D07"/>
    <w:rsid w:val="00DE02E3"/>
    <w:rsid w:val="00DE101A"/>
    <w:rsid w:val="00DF062E"/>
    <w:rsid w:val="00DF095B"/>
    <w:rsid w:val="00DF2629"/>
    <w:rsid w:val="00DF3ED8"/>
    <w:rsid w:val="00DF4399"/>
    <w:rsid w:val="00DF542C"/>
    <w:rsid w:val="00DF592C"/>
    <w:rsid w:val="00DF6AB0"/>
    <w:rsid w:val="00DF7DFC"/>
    <w:rsid w:val="00E01882"/>
    <w:rsid w:val="00E01BE2"/>
    <w:rsid w:val="00E03DDC"/>
    <w:rsid w:val="00E05E2C"/>
    <w:rsid w:val="00E109D7"/>
    <w:rsid w:val="00E1784B"/>
    <w:rsid w:val="00E21592"/>
    <w:rsid w:val="00E235CD"/>
    <w:rsid w:val="00E24502"/>
    <w:rsid w:val="00E24802"/>
    <w:rsid w:val="00E254B0"/>
    <w:rsid w:val="00E258AA"/>
    <w:rsid w:val="00E25BAE"/>
    <w:rsid w:val="00E26182"/>
    <w:rsid w:val="00E261F9"/>
    <w:rsid w:val="00E3348F"/>
    <w:rsid w:val="00E34E5B"/>
    <w:rsid w:val="00E3534B"/>
    <w:rsid w:val="00E35E97"/>
    <w:rsid w:val="00E36E44"/>
    <w:rsid w:val="00E402E9"/>
    <w:rsid w:val="00E4673B"/>
    <w:rsid w:val="00E50C21"/>
    <w:rsid w:val="00E527D0"/>
    <w:rsid w:val="00E52E37"/>
    <w:rsid w:val="00E6235B"/>
    <w:rsid w:val="00E6339F"/>
    <w:rsid w:val="00E661F6"/>
    <w:rsid w:val="00E66587"/>
    <w:rsid w:val="00E676B3"/>
    <w:rsid w:val="00E71862"/>
    <w:rsid w:val="00E71BE2"/>
    <w:rsid w:val="00E72972"/>
    <w:rsid w:val="00E73013"/>
    <w:rsid w:val="00E742EB"/>
    <w:rsid w:val="00E81FEB"/>
    <w:rsid w:val="00E833FA"/>
    <w:rsid w:val="00E856E3"/>
    <w:rsid w:val="00E91471"/>
    <w:rsid w:val="00E9195C"/>
    <w:rsid w:val="00E92BB1"/>
    <w:rsid w:val="00E936A1"/>
    <w:rsid w:val="00E95519"/>
    <w:rsid w:val="00EA16E6"/>
    <w:rsid w:val="00EA78D5"/>
    <w:rsid w:val="00EB0D0C"/>
    <w:rsid w:val="00EB1211"/>
    <w:rsid w:val="00EB1AA7"/>
    <w:rsid w:val="00EB27FD"/>
    <w:rsid w:val="00EB6D4E"/>
    <w:rsid w:val="00EC019F"/>
    <w:rsid w:val="00EC1561"/>
    <w:rsid w:val="00EC216E"/>
    <w:rsid w:val="00EC2C28"/>
    <w:rsid w:val="00EC39CE"/>
    <w:rsid w:val="00EC3EBC"/>
    <w:rsid w:val="00EC3ECB"/>
    <w:rsid w:val="00EC5EB8"/>
    <w:rsid w:val="00ED0178"/>
    <w:rsid w:val="00ED29DA"/>
    <w:rsid w:val="00ED3109"/>
    <w:rsid w:val="00EE13F0"/>
    <w:rsid w:val="00EE4BD3"/>
    <w:rsid w:val="00EE4C92"/>
    <w:rsid w:val="00EE518B"/>
    <w:rsid w:val="00EE6525"/>
    <w:rsid w:val="00EF01C3"/>
    <w:rsid w:val="00EF2FB6"/>
    <w:rsid w:val="00EF4D55"/>
    <w:rsid w:val="00EF4FB9"/>
    <w:rsid w:val="00EF5D85"/>
    <w:rsid w:val="00EF5EC7"/>
    <w:rsid w:val="00EF6340"/>
    <w:rsid w:val="00EF6F93"/>
    <w:rsid w:val="00EF76DF"/>
    <w:rsid w:val="00F00534"/>
    <w:rsid w:val="00F01EDB"/>
    <w:rsid w:val="00F050D3"/>
    <w:rsid w:val="00F1311A"/>
    <w:rsid w:val="00F14062"/>
    <w:rsid w:val="00F1744C"/>
    <w:rsid w:val="00F20A04"/>
    <w:rsid w:val="00F20E06"/>
    <w:rsid w:val="00F21A66"/>
    <w:rsid w:val="00F2357D"/>
    <w:rsid w:val="00F25CC1"/>
    <w:rsid w:val="00F263D6"/>
    <w:rsid w:val="00F302F0"/>
    <w:rsid w:val="00F32B8D"/>
    <w:rsid w:val="00F33732"/>
    <w:rsid w:val="00F36D23"/>
    <w:rsid w:val="00F37CE4"/>
    <w:rsid w:val="00F40689"/>
    <w:rsid w:val="00F41687"/>
    <w:rsid w:val="00F41BC1"/>
    <w:rsid w:val="00F447A4"/>
    <w:rsid w:val="00F4781F"/>
    <w:rsid w:val="00F50F76"/>
    <w:rsid w:val="00F516EC"/>
    <w:rsid w:val="00F54F10"/>
    <w:rsid w:val="00F552E5"/>
    <w:rsid w:val="00F61066"/>
    <w:rsid w:val="00F611D0"/>
    <w:rsid w:val="00F63073"/>
    <w:rsid w:val="00F634D1"/>
    <w:rsid w:val="00F64A33"/>
    <w:rsid w:val="00F65A61"/>
    <w:rsid w:val="00F67F5F"/>
    <w:rsid w:val="00F71D3F"/>
    <w:rsid w:val="00F7258E"/>
    <w:rsid w:val="00F76032"/>
    <w:rsid w:val="00F77343"/>
    <w:rsid w:val="00F804C1"/>
    <w:rsid w:val="00F832C3"/>
    <w:rsid w:val="00F859F1"/>
    <w:rsid w:val="00F90BC6"/>
    <w:rsid w:val="00F91B50"/>
    <w:rsid w:val="00F93D87"/>
    <w:rsid w:val="00F95115"/>
    <w:rsid w:val="00F95210"/>
    <w:rsid w:val="00FA00D1"/>
    <w:rsid w:val="00FA186A"/>
    <w:rsid w:val="00FA19CA"/>
    <w:rsid w:val="00FB0CB4"/>
    <w:rsid w:val="00FB1583"/>
    <w:rsid w:val="00FB1B3A"/>
    <w:rsid w:val="00FB7B30"/>
    <w:rsid w:val="00FC2405"/>
    <w:rsid w:val="00FC3AF2"/>
    <w:rsid w:val="00FC652E"/>
    <w:rsid w:val="00FC74ED"/>
    <w:rsid w:val="00FD57AF"/>
    <w:rsid w:val="00FD69C7"/>
    <w:rsid w:val="00FD764E"/>
    <w:rsid w:val="00FE0F2C"/>
    <w:rsid w:val="00FE1FCD"/>
    <w:rsid w:val="00FE35F7"/>
    <w:rsid w:val="00FE390A"/>
    <w:rsid w:val="00FE3E0C"/>
    <w:rsid w:val="00FF0484"/>
    <w:rsid w:val="00FF1BDD"/>
    <w:rsid w:val="00FF61A5"/>
    <w:rsid w:val="00FF79F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6004D16"/>
  <w15:docId w15:val="{628E2B3F-64A8-4AC1-9ED0-9F2FAA9151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12D6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2380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23805"/>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23805"/>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23805"/>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863FC7"/>
    <w:pPr>
      <w:autoSpaceDE w:val="0"/>
      <w:autoSpaceDN w:val="0"/>
      <w:adjustRightInd w:val="0"/>
      <w:spacing w:after="0" w:line="240" w:lineRule="auto"/>
    </w:pPr>
    <w:rPr>
      <w:rFonts w:ascii="Palatino Linotype" w:hAnsi="Palatino Linotype" w:cs="Palatino Linotype"/>
      <w:color w:val="000000"/>
      <w:sz w:val="24"/>
      <w:szCs w:val="24"/>
    </w:rPr>
  </w:style>
  <w:style w:type="table" w:styleId="TableGrid">
    <w:name w:val="Table Grid"/>
    <w:basedOn w:val="TableNormal"/>
    <w:uiPriority w:val="59"/>
    <w:rsid w:val="002A62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FD69C7"/>
    <w:pPr>
      <w:ind w:left="720"/>
      <w:contextualSpacing/>
    </w:pPr>
  </w:style>
  <w:style w:type="paragraph" w:styleId="BalloonText">
    <w:name w:val="Balloon Text"/>
    <w:basedOn w:val="Normal"/>
    <w:link w:val="BalloonTextChar"/>
    <w:uiPriority w:val="99"/>
    <w:semiHidden/>
    <w:unhideWhenUsed/>
    <w:rsid w:val="00076DA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6DA0"/>
    <w:rPr>
      <w:rFonts w:ascii="Tahoma" w:hAnsi="Tahoma" w:cs="Tahoma"/>
      <w:sz w:val="16"/>
      <w:szCs w:val="16"/>
    </w:rPr>
  </w:style>
  <w:style w:type="character" w:styleId="Hyperlink">
    <w:name w:val="Hyperlink"/>
    <w:basedOn w:val="DefaultParagraphFont"/>
    <w:uiPriority w:val="99"/>
    <w:unhideWhenUsed/>
    <w:rsid w:val="004B13B4"/>
    <w:rPr>
      <w:color w:val="0000FF" w:themeColor="hyperlink"/>
      <w:u w:val="single"/>
    </w:rPr>
  </w:style>
  <w:style w:type="paragraph" w:styleId="Header">
    <w:name w:val="header"/>
    <w:basedOn w:val="Normal"/>
    <w:link w:val="HeaderChar"/>
    <w:uiPriority w:val="99"/>
    <w:unhideWhenUsed/>
    <w:rsid w:val="00611BF7"/>
    <w:pPr>
      <w:tabs>
        <w:tab w:val="center" w:pos="4680"/>
        <w:tab w:val="right" w:pos="9360"/>
      </w:tabs>
      <w:spacing w:after="0" w:line="240" w:lineRule="auto"/>
    </w:pPr>
  </w:style>
  <w:style w:type="character" w:customStyle="1" w:styleId="HeaderChar">
    <w:name w:val="Header Char"/>
    <w:basedOn w:val="DefaultParagraphFont"/>
    <w:link w:val="Header"/>
    <w:uiPriority w:val="99"/>
    <w:rsid w:val="00611BF7"/>
  </w:style>
  <w:style w:type="paragraph" w:styleId="Footer">
    <w:name w:val="footer"/>
    <w:basedOn w:val="Normal"/>
    <w:link w:val="FooterChar"/>
    <w:uiPriority w:val="99"/>
    <w:unhideWhenUsed/>
    <w:rsid w:val="00611BF7"/>
    <w:pPr>
      <w:tabs>
        <w:tab w:val="center" w:pos="4680"/>
        <w:tab w:val="right" w:pos="9360"/>
      </w:tabs>
      <w:spacing w:after="0" w:line="240" w:lineRule="auto"/>
    </w:pPr>
  </w:style>
  <w:style w:type="character" w:customStyle="1" w:styleId="FooterChar">
    <w:name w:val="Footer Char"/>
    <w:basedOn w:val="DefaultParagraphFont"/>
    <w:link w:val="Footer"/>
    <w:uiPriority w:val="99"/>
    <w:rsid w:val="00611BF7"/>
  </w:style>
  <w:style w:type="character" w:customStyle="1" w:styleId="Heading1Char">
    <w:name w:val="Heading 1 Char"/>
    <w:basedOn w:val="DefaultParagraphFont"/>
    <w:link w:val="Heading1"/>
    <w:uiPriority w:val="9"/>
    <w:rsid w:val="00A12D62"/>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A12D62"/>
    <w:pPr>
      <w:outlineLvl w:val="9"/>
    </w:pPr>
    <w:rPr>
      <w:lang w:eastAsia="ja-JP"/>
    </w:rPr>
  </w:style>
  <w:style w:type="paragraph" w:styleId="TOC2">
    <w:name w:val="toc 2"/>
    <w:basedOn w:val="Normal"/>
    <w:next w:val="Normal"/>
    <w:autoRedefine/>
    <w:uiPriority w:val="39"/>
    <w:unhideWhenUsed/>
    <w:qFormat/>
    <w:rsid w:val="00A12D62"/>
    <w:pPr>
      <w:spacing w:after="100"/>
      <w:ind w:left="220"/>
    </w:pPr>
    <w:rPr>
      <w:lang w:eastAsia="ja-JP"/>
    </w:rPr>
  </w:style>
  <w:style w:type="paragraph" w:styleId="TOC1">
    <w:name w:val="toc 1"/>
    <w:basedOn w:val="Normal"/>
    <w:next w:val="Normal"/>
    <w:autoRedefine/>
    <w:uiPriority w:val="39"/>
    <w:unhideWhenUsed/>
    <w:qFormat/>
    <w:rsid w:val="007951B5"/>
    <w:pPr>
      <w:spacing w:after="100"/>
    </w:pPr>
    <w:rPr>
      <w:bCs/>
      <w:lang w:eastAsia="ja-JP"/>
    </w:rPr>
  </w:style>
  <w:style w:type="paragraph" w:styleId="TOC3">
    <w:name w:val="toc 3"/>
    <w:basedOn w:val="Normal"/>
    <w:next w:val="Normal"/>
    <w:autoRedefine/>
    <w:uiPriority w:val="39"/>
    <w:unhideWhenUsed/>
    <w:qFormat/>
    <w:rsid w:val="00A12D62"/>
    <w:pPr>
      <w:spacing w:after="100"/>
      <w:ind w:left="440"/>
    </w:pPr>
    <w:rPr>
      <w:lang w:eastAsia="ja-JP"/>
    </w:rPr>
  </w:style>
  <w:style w:type="paragraph" w:styleId="NoSpacing">
    <w:name w:val="No Spacing"/>
    <w:link w:val="NoSpacingChar"/>
    <w:uiPriority w:val="1"/>
    <w:qFormat/>
    <w:rsid w:val="001D6178"/>
    <w:pPr>
      <w:spacing w:after="0" w:line="240" w:lineRule="auto"/>
    </w:pPr>
  </w:style>
  <w:style w:type="character" w:styleId="CommentReference">
    <w:name w:val="annotation reference"/>
    <w:basedOn w:val="DefaultParagraphFont"/>
    <w:uiPriority w:val="99"/>
    <w:semiHidden/>
    <w:unhideWhenUsed/>
    <w:rsid w:val="00401B7E"/>
    <w:rPr>
      <w:sz w:val="16"/>
      <w:szCs w:val="16"/>
    </w:rPr>
  </w:style>
  <w:style w:type="paragraph" w:styleId="CommentText">
    <w:name w:val="annotation text"/>
    <w:basedOn w:val="Normal"/>
    <w:link w:val="CommentTextChar"/>
    <w:uiPriority w:val="99"/>
    <w:semiHidden/>
    <w:unhideWhenUsed/>
    <w:rsid w:val="00401B7E"/>
    <w:pPr>
      <w:spacing w:line="240" w:lineRule="auto"/>
    </w:pPr>
    <w:rPr>
      <w:sz w:val="20"/>
      <w:szCs w:val="20"/>
    </w:rPr>
  </w:style>
  <w:style w:type="character" w:customStyle="1" w:styleId="CommentTextChar">
    <w:name w:val="Comment Text Char"/>
    <w:basedOn w:val="DefaultParagraphFont"/>
    <w:link w:val="CommentText"/>
    <w:uiPriority w:val="99"/>
    <w:semiHidden/>
    <w:rsid w:val="00401B7E"/>
    <w:rPr>
      <w:sz w:val="20"/>
      <w:szCs w:val="20"/>
    </w:rPr>
  </w:style>
  <w:style w:type="paragraph" w:styleId="CommentSubject">
    <w:name w:val="annotation subject"/>
    <w:basedOn w:val="CommentText"/>
    <w:next w:val="CommentText"/>
    <w:link w:val="CommentSubjectChar"/>
    <w:uiPriority w:val="99"/>
    <w:semiHidden/>
    <w:unhideWhenUsed/>
    <w:rsid w:val="00401B7E"/>
    <w:rPr>
      <w:b/>
      <w:bCs/>
    </w:rPr>
  </w:style>
  <w:style w:type="character" w:customStyle="1" w:styleId="CommentSubjectChar">
    <w:name w:val="Comment Subject Char"/>
    <w:basedOn w:val="CommentTextChar"/>
    <w:link w:val="CommentSubject"/>
    <w:uiPriority w:val="99"/>
    <w:semiHidden/>
    <w:rsid w:val="00401B7E"/>
    <w:rPr>
      <w:b/>
      <w:bCs/>
      <w:sz w:val="20"/>
      <w:szCs w:val="20"/>
    </w:rPr>
  </w:style>
  <w:style w:type="character" w:customStyle="1" w:styleId="NoSpacingChar">
    <w:name w:val="No Spacing Char"/>
    <w:link w:val="NoSpacing"/>
    <w:uiPriority w:val="1"/>
    <w:rsid w:val="00CB060C"/>
  </w:style>
  <w:style w:type="character" w:styleId="IntenseEmphasis">
    <w:name w:val="Intense Emphasis"/>
    <w:basedOn w:val="DefaultParagraphFont"/>
    <w:uiPriority w:val="21"/>
    <w:qFormat/>
    <w:rsid w:val="00C25E6C"/>
    <w:rPr>
      <w:i/>
      <w:iCs/>
      <w:color w:val="4F81BD" w:themeColor="accent1"/>
    </w:rPr>
  </w:style>
  <w:style w:type="character" w:styleId="BookTitle">
    <w:name w:val="Book Title"/>
    <w:basedOn w:val="DefaultParagraphFont"/>
    <w:uiPriority w:val="33"/>
    <w:qFormat/>
    <w:rsid w:val="00AC1797"/>
    <w:rPr>
      <w:b/>
      <w:bCs/>
      <w:i/>
      <w:iCs/>
      <w:spacing w:val="5"/>
    </w:rPr>
  </w:style>
  <w:style w:type="character" w:customStyle="1" w:styleId="Heading2Char">
    <w:name w:val="Heading 2 Char"/>
    <w:basedOn w:val="DefaultParagraphFont"/>
    <w:link w:val="Heading2"/>
    <w:uiPriority w:val="9"/>
    <w:rsid w:val="0022380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23805"/>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23805"/>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23805"/>
    <w:rPr>
      <w:rFonts w:asciiTheme="majorHAnsi" w:eastAsiaTheme="majorEastAsia" w:hAnsiTheme="majorHAnsi" w:cstheme="majorBidi"/>
      <w:color w:val="243F60" w:themeColor="accent1" w:themeShade="7F"/>
    </w:rPr>
  </w:style>
  <w:style w:type="paragraph" w:customStyle="1" w:styleId="Style1">
    <w:name w:val="Style1"/>
    <w:basedOn w:val="ListParagraph"/>
    <w:qFormat/>
    <w:rsid w:val="00CF683A"/>
    <w:pPr>
      <w:numPr>
        <w:ilvl w:val="1"/>
        <w:numId w:val="3"/>
      </w:numPr>
      <w:spacing w:before="240" w:after="240" w:line="240" w:lineRule="auto"/>
    </w:pPr>
    <w:rPr>
      <w:rFonts w:asciiTheme="majorHAnsi" w:hAnsiTheme="majorHAnsi" w:cstheme="minorHAnsi"/>
      <w:b/>
      <w:sz w:val="24"/>
      <w:szCs w:val="24"/>
    </w:rPr>
  </w:style>
  <w:style w:type="character" w:customStyle="1" w:styleId="ListParagraphChar">
    <w:name w:val="List Paragraph Char"/>
    <w:link w:val="ListParagraph"/>
    <w:uiPriority w:val="34"/>
    <w:rsid w:val="007520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21058">
      <w:bodyDiv w:val="1"/>
      <w:marLeft w:val="0"/>
      <w:marRight w:val="0"/>
      <w:marTop w:val="0"/>
      <w:marBottom w:val="0"/>
      <w:divBdr>
        <w:top w:val="none" w:sz="0" w:space="0" w:color="auto"/>
        <w:left w:val="none" w:sz="0" w:space="0" w:color="auto"/>
        <w:bottom w:val="none" w:sz="0" w:space="0" w:color="auto"/>
        <w:right w:val="none" w:sz="0" w:space="0" w:color="auto"/>
      </w:divBdr>
    </w:div>
    <w:div w:id="21757962">
      <w:bodyDiv w:val="1"/>
      <w:marLeft w:val="0"/>
      <w:marRight w:val="0"/>
      <w:marTop w:val="0"/>
      <w:marBottom w:val="0"/>
      <w:divBdr>
        <w:top w:val="none" w:sz="0" w:space="0" w:color="auto"/>
        <w:left w:val="none" w:sz="0" w:space="0" w:color="auto"/>
        <w:bottom w:val="none" w:sz="0" w:space="0" w:color="auto"/>
        <w:right w:val="none" w:sz="0" w:space="0" w:color="auto"/>
      </w:divBdr>
    </w:div>
    <w:div w:id="22248773">
      <w:bodyDiv w:val="1"/>
      <w:marLeft w:val="0"/>
      <w:marRight w:val="0"/>
      <w:marTop w:val="0"/>
      <w:marBottom w:val="0"/>
      <w:divBdr>
        <w:top w:val="none" w:sz="0" w:space="0" w:color="auto"/>
        <w:left w:val="none" w:sz="0" w:space="0" w:color="auto"/>
        <w:bottom w:val="none" w:sz="0" w:space="0" w:color="auto"/>
        <w:right w:val="none" w:sz="0" w:space="0" w:color="auto"/>
      </w:divBdr>
    </w:div>
    <w:div w:id="85617848">
      <w:bodyDiv w:val="1"/>
      <w:marLeft w:val="0"/>
      <w:marRight w:val="0"/>
      <w:marTop w:val="0"/>
      <w:marBottom w:val="0"/>
      <w:divBdr>
        <w:top w:val="none" w:sz="0" w:space="0" w:color="auto"/>
        <w:left w:val="none" w:sz="0" w:space="0" w:color="auto"/>
        <w:bottom w:val="none" w:sz="0" w:space="0" w:color="auto"/>
        <w:right w:val="none" w:sz="0" w:space="0" w:color="auto"/>
      </w:divBdr>
    </w:div>
    <w:div w:id="91056314">
      <w:bodyDiv w:val="1"/>
      <w:marLeft w:val="0"/>
      <w:marRight w:val="0"/>
      <w:marTop w:val="0"/>
      <w:marBottom w:val="0"/>
      <w:divBdr>
        <w:top w:val="none" w:sz="0" w:space="0" w:color="auto"/>
        <w:left w:val="none" w:sz="0" w:space="0" w:color="auto"/>
        <w:bottom w:val="none" w:sz="0" w:space="0" w:color="auto"/>
        <w:right w:val="none" w:sz="0" w:space="0" w:color="auto"/>
      </w:divBdr>
    </w:div>
    <w:div w:id="111025346">
      <w:bodyDiv w:val="1"/>
      <w:marLeft w:val="0"/>
      <w:marRight w:val="0"/>
      <w:marTop w:val="0"/>
      <w:marBottom w:val="0"/>
      <w:divBdr>
        <w:top w:val="none" w:sz="0" w:space="0" w:color="auto"/>
        <w:left w:val="none" w:sz="0" w:space="0" w:color="auto"/>
        <w:bottom w:val="none" w:sz="0" w:space="0" w:color="auto"/>
        <w:right w:val="none" w:sz="0" w:space="0" w:color="auto"/>
      </w:divBdr>
    </w:div>
    <w:div w:id="118498502">
      <w:bodyDiv w:val="1"/>
      <w:marLeft w:val="0"/>
      <w:marRight w:val="0"/>
      <w:marTop w:val="0"/>
      <w:marBottom w:val="0"/>
      <w:divBdr>
        <w:top w:val="none" w:sz="0" w:space="0" w:color="auto"/>
        <w:left w:val="none" w:sz="0" w:space="0" w:color="auto"/>
        <w:bottom w:val="none" w:sz="0" w:space="0" w:color="auto"/>
        <w:right w:val="none" w:sz="0" w:space="0" w:color="auto"/>
      </w:divBdr>
    </w:div>
    <w:div w:id="128133531">
      <w:bodyDiv w:val="1"/>
      <w:marLeft w:val="0"/>
      <w:marRight w:val="0"/>
      <w:marTop w:val="0"/>
      <w:marBottom w:val="0"/>
      <w:divBdr>
        <w:top w:val="none" w:sz="0" w:space="0" w:color="auto"/>
        <w:left w:val="none" w:sz="0" w:space="0" w:color="auto"/>
        <w:bottom w:val="none" w:sz="0" w:space="0" w:color="auto"/>
        <w:right w:val="none" w:sz="0" w:space="0" w:color="auto"/>
      </w:divBdr>
    </w:div>
    <w:div w:id="140468065">
      <w:bodyDiv w:val="1"/>
      <w:marLeft w:val="0"/>
      <w:marRight w:val="0"/>
      <w:marTop w:val="0"/>
      <w:marBottom w:val="0"/>
      <w:divBdr>
        <w:top w:val="none" w:sz="0" w:space="0" w:color="auto"/>
        <w:left w:val="none" w:sz="0" w:space="0" w:color="auto"/>
        <w:bottom w:val="none" w:sz="0" w:space="0" w:color="auto"/>
        <w:right w:val="none" w:sz="0" w:space="0" w:color="auto"/>
      </w:divBdr>
    </w:div>
    <w:div w:id="141317868">
      <w:bodyDiv w:val="1"/>
      <w:marLeft w:val="0"/>
      <w:marRight w:val="0"/>
      <w:marTop w:val="0"/>
      <w:marBottom w:val="0"/>
      <w:divBdr>
        <w:top w:val="none" w:sz="0" w:space="0" w:color="auto"/>
        <w:left w:val="none" w:sz="0" w:space="0" w:color="auto"/>
        <w:bottom w:val="none" w:sz="0" w:space="0" w:color="auto"/>
        <w:right w:val="none" w:sz="0" w:space="0" w:color="auto"/>
      </w:divBdr>
    </w:div>
    <w:div w:id="156505591">
      <w:bodyDiv w:val="1"/>
      <w:marLeft w:val="0"/>
      <w:marRight w:val="0"/>
      <w:marTop w:val="0"/>
      <w:marBottom w:val="0"/>
      <w:divBdr>
        <w:top w:val="none" w:sz="0" w:space="0" w:color="auto"/>
        <w:left w:val="none" w:sz="0" w:space="0" w:color="auto"/>
        <w:bottom w:val="none" w:sz="0" w:space="0" w:color="auto"/>
        <w:right w:val="none" w:sz="0" w:space="0" w:color="auto"/>
      </w:divBdr>
    </w:div>
    <w:div w:id="174617973">
      <w:bodyDiv w:val="1"/>
      <w:marLeft w:val="0"/>
      <w:marRight w:val="0"/>
      <w:marTop w:val="0"/>
      <w:marBottom w:val="0"/>
      <w:divBdr>
        <w:top w:val="none" w:sz="0" w:space="0" w:color="auto"/>
        <w:left w:val="none" w:sz="0" w:space="0" w:color="auto"/>
        <w:bottom w:val="none" w:sz="0" w:space="0" w:color="auto"/>
        <w:right w:val="none" w:sz="0" w:space="0" w:color="auto"/>
      </w:divBdr>
    </w:div>
    <w:div w:id="176583889">
      <w:bodyDiv w:val="1"/>
      <w:marLeft w:val="0"/>
      <w:marRight w:val="0"/>
      <w:marTop w:val="0"/>
      <w:marBottom w:val="0"/>
      <w:divBdr>
        <w:top w:val="none" w:sz="0" w:space="0" w:color="auto"/>
        <w:left w:val="none" w:sz="0" w:space="0" w:color="auto"/>
        <w:bottom w:val="none" w:sz="0" w:space="0" w:color="auto"/>
        <w:right w:val="none" w:sz="0" w:space="0" w:color="auto"/>
      </w:divBdr>
    </w:div>
    <w:div w:id="191917791">
      <w:bodyDiv w:val="1"/>
      <w:marLeft w:val="0"/>
      <w:marRight w:val="0"/>
      <w:marTop w:val="0"/>
      <w:marBottom w:val="0"/>
      <w:divBdr>
        <w:top w:val="none" w:sz="0" w:space="0" w:color="auto"/>
        <w:left w:val="none" w:sz="0" w:space="0" w:color="auto"/>
        <w:bottom w:val="none" w:sz="0" w:space="0" w:color="auto"/>
        <w:right w:val="none" w:sz="0" w:space="0" w:color="auto"/>
      </w:divBdr>
    </w:div>
    <w:div w:id="204488769">
      <w:bodyDiv w:val="1"/>
      <w:marLeft w:val="0"/>
      <w:marRight w:val="0"/>
      <w:marTop w:val="0"/>
      <w:marBottom w:val="0"/>
      <w:divBdr>
        <w:top w:val="none" w:sz="0" w:space="0" w:color="auto"/>
        <w:left w:val="none" w:sz="0" w:space="0" w:color="auto"/>
        <w:bottom w:val="none" w:sz="0" w:space="0" w:color="auto"/>
        <w:right w:val="none" w:sz="0" w:space="0" w:color="auto"/>
      </w:divBdr>
    </w:div>
    <w:div w:id="204562035">
      <w:bodyDiv w:val="1"/>
      <w:marLeft w:val="0"/>
      <w:marRight w:val="0"/>
      <w:marTop w:val="0"/>
      <w:marBottom w:val="0"/>
      <w:divBdr>
        <w:top w:val="none" w:sz="0" w:space="0" w:color="auto"/>
        <w:left w:val="none" w:sz="0" w:space="0" w:color="auto"/>
        <w:bottom w:val="none" w:sz="0" w:space="0" w:color="auto"/>
        <w:right w:val="none" w:sz="0" w:space="0" w:color="auto"/>
      </w:divBdr>
    </w:div>
    <w:div w:id="208147346">
      <w:bodyDiv w:val="1"/>
      <w:marLeft w:val="0"/>
      <w:marRight w:val="0"/>
      <w:marTop w:val="0"/>
      <w:marBottom w:val="0"/>
      <w:divBdr>
        <w:top w:val="none" w:sz="0" w:space="0" w:color="auto"/>
        <w:left w:val="none" w:sz="0" w:space="0" w:color="auto"/>
        <w:bottom w:val="none" w:sz="0" w:space="0" w:color="auto"/>
        <w:right w:val="none" w:sz="0" w:space="0" w:color="auto"/>
      </w:divBdr>
    </w:div>
    <w:div w:id="209659594">
      <w:bodyDiv w:val="1"/>
      <w:marLeft w:val="0"/>
      <w:marRight w:val="0"/>
      <w:marTop w:val="0"/>
      <w:marBottom w:val="0"/>
      <w:divBdr>
        <w:top w:val="none" w:sz="0" w:space="0" w:color="auto"/>
        <w:left w:val="none" w:sz="0" w:space="0" w:color="auto"/>
        <w:bottom w:val="none" w:sz="0" w:space="0" w:color="auto"/>
        <w:right w:val="none" w:sz="0" w:space="0" w:color="auto"/>
      </w:divBdr>
    </w:div>
    <w:div w:id="223444552">
      <w:bodyDiv w:val="1"/>
      <w:marLeft w:val="0"/>
      <w:marRight w:val="0"/>
      <w:marTop w:val="0"/>
      <w:marBottom w:val="0"/>
      <w:divBdr>
        <w:top w:val="none" w:sz="0" w:space="0" w:color="auto"/>
        <w:left w:val="none" w:sz="0" w:space="0" w:color="auto"/>
        <w:bottom w:val="none" w:sz="0" w:space="0" w:color="auto"/>
        <w:right w:val="none" w:sz="0" w:space="0" w:color="auto"/>
      </w:divBdr>
    </w:div>
    <w:div w:id="230584513">
      <w:bodyDiv w:val="1"/>
      <w:marLeft w:val="0"/>
      <w:marRight w:val="0"/>
      <w:marTop w:val="0"/>
      <w:marBottom w:val="0"/>
      <w:divBdr>
        <w:top w:val="none" w:sz="0" w:space="0" w:color="auto"/>
        <w:left w:val="none" w:sz="0" w:space="0" w:color="auto"/>
        <w:bottom w:val="none" w:sz="0" w:space="0" w:color="auto"/>
        <w:right w:val="none" w:sz="0" w:space="0" w:color="auto"/>
      </w:divBdr>
    </w:div>
    <w:div w:id="250772561">
      <w:bodyDiv w:val="1"/>
      <w:marLeft w:val="0"/>
      <w:marRight w:val="0"/>
      <w:marTop w:val="0"/>
      <w:marBottom w:val="0"/>
      <w:divBdr>
        <w:top w:val="none" w:sz="0" w:space="0" w:color="auto"/>
        <w:left w:val="none" w:sz="0" w:space="0" w:color="auto"/>
        <w:bottom w:val="none" w:sz="0" w:space="0" w:color="auto"/>
        <w:right w:val="none" w:sz="0" w:space="0" w:color="auto"/>
      </w:divBdr>
    </w:div>
    <w:div w:id="269551436">
      <w:bodyDiv w:val="1"/>
      <w:marLeft w:val="0"/>
      <w:marRight w:val="0"/>
      <w:marTop w:val="0"/>
      <w:marBottom w:val="0"/>
      <w:divBdr>
        <w:top w:val="none" w:sz="0" w:space="0" w:color="auto"/>
        <w:left w:val="none" w:sz="0" w:space="0" w:color="auto"/>
        <w:bottom w:val="none" w:sz="0" w:space="0" w:color="auto"/>
        <w:right w:val="none" w:sz="0" w:space="0" w:color="auto"/>
      </w:divBdr>
    </w:div>
    <w:div w:id="276104342">
      <w:bodyDiv w:val="1"/>
      <w:marLeft w:val="0"/>
      <w:marRight w:val="0"/>
      <w:marTop w:val="0"/>
      <w:marBottom w:val="0"/>
      <w:divBdr>
        <w:top w:val="none" w:sz="0" w:space="0" w:color="auto"/>
        <w:left w:val="none" w:sz="0" w:space="0" w:color="auto"/>
        <w:bottom w:val="none" w:sz="0" w:space="0" w:color="auto"/>
        <w:right w:val="none" w:sz="0" w:space="0" w:color="auto"/>
      </w:divBdr>
    </w:div>
    <w:div w:id="306739507">
      <w:bodyDiv w:val="1"/>
      <w:marLeft w:val="0"/>
      <w:marRight w:val="0"/>
      <w:marTop w:val="0"/>
      <w:marBottom w:val="0"/>
      <w:divBdr>
        <w:top w:val="none" w:sz="0" w:space="0" w:color="auto"/>
        <w:left w:val="none" w:sz="0" w:space="0" w:color="auto"/>
        <w:bottom w:val="none" w:sz="0" w:space="0" w:color="auto"/>
        <w:right w:val="none" w:sz="0" w:space="0" w:color="auto"/>
      </w:divBdr>
    </w:div>
    <w:div w:id="334310906">
      <w:bodyDiv w:val="1"/>
      <w:marLeft w:val="0"/>
      <w:marRight w:val="0"/>
      <w:marTop w:val="0"/>
      <w:marBottom w:val="0"/>
      <w:divBdr>
        <w:top w:val="none" w:sz="0" w:space="0" w:color="auto"/>
        <w:left w:val="none" w:sz="0" w:space="0" w:color="auto"/>
        <w:bottom w:val="none" w:sz="0" w:space="0" w:color="auto"/>
        <w:right w:val="none" w:sz="0" w:space="0" w:color="auto"/>
      </w:divBdr>
    </w:div>
    <w:div w:id="350644682">
      <w:bodyDiv w:val="1"/>
      <w:marLeft w:val="0"/>
      <w:marRight w:val="0"/>
      <w:marTop w:val="0"/>
      <w:marBottom w:val="0"/>
      <w:divBdr>
        <w:top w:val="none" w:sz="0" w:space="0" w:color="auto"/>
        <w:left w:val="none" w:sz="0" w:space="0" w:color="auto"/>
        <w:bottom w:val="none" w:sz="0" w:space="0" w:color="auto"/>
        <w:right w:val="none" w:sz="0" w:space="0" w:color="auto"/>
      </w:divBdr>
    </w:div>
    <w:div w:id="362899335">
      <w:bodyDiv w:val="1"/>
      <w:marLeft w:val="0"/>
      <w:marRight w:val="0"/>
      <w:marTop w:val="0"/>
      <w:marBottom w:val="0"/>
      <w:divBdr>
        <w:top w:val="none" w:sz="0" w:space="0" w:color="auto"/>
        <w:left w:val="none" w:sz="0" w:space="0" w:color="auto"/>
        <w:bottom w:val="none" w:sz="0" w:space="0" w:color="auto"/>
        <w:right w:val="none" w:sz="0" w:space="0" w:color="auto"/>
      </w:divBdr>
    </w:div>
    <w:div w:id="367220268">
      <w:bodyDiv w:val="1"/>
      <w:marLeft w:val="0"/>
      <w:marRight w:val="0"/>
      <w:marTop w:val="0"/>
      <w:marBottom w:val="0"/>
      <w:divBdr>
        <w:top w:val="none" w:sz="0" w:space="0" w:color="auto"/>
        <w:left w:val="none" w:sz="0" w:space="0" w:color="auto"/>
        <w:bottom w:val="none" w:sz="0" w:space="0" w:color="auto"/>
        <w:right w:val="none" w:sz="0" w:space="0" w:color="auto"/>
      </w:divBdr>
    </w:div>
    <w:div w:id="374237885">
      <w:bodyDiv w:val="1"/>
      <w:marLeft w:val="0"/>
      <w:marRight w:val="0"/>
      <w:marTop w:val="0"/>
      <w:marBottom w:val="0"/>
      <w:divBdr>
        <w:top w:val="none" w:sz="0" w:space="0" w:color="auto"/>
        <w:left w:val="none" w:sz="0" w:space="0" w:color="auto"/>
        <w:bottom w:val="none" w:sz="0" w:space="0" w:color="auto"/>
        <w:right w:val="none" w:sz="0" w:space="0" w:color="auto"/>
      </w:divBdr>
    </w:div>
    <w:div w:id="418984438">
      <w:bodyDiv w:val="1"/>
      <w:marLeft w:val="0"/>
      <w:marRight w:val="0"/>
      <w:marTop w:val="0"/>
      <w:marBottom w:val="0"/>
      <w:divBdr>
        <w:top w:val="none" w:sz="0" w:space="0" w:color="auto"/>
        <w:left w:val="none" w:sz="0" w:space="0" w:color="auto"/>
        <w:bottom w:val="none" w:sz="0" w:space="0" w:color="auto"/>
        <w:right w:val="none" w:sz="0" w:space="0" w:color="auto"/>
      </w:divBdr>
    </w:div>
    <w:div w:id="421754482">
      <w:bodyDiv w:val="1"/>
      <w:marLeft w:val="0"/>
      <w:marRight w:val="0"/>
      <w:marTop w:val="0"/>
      <w:marBottom w:val="0"/>
      <w:divBdr>
        <w:top w:val="none" w:sz="0" w:space="0" w:color="auto"/>
        <w:left w:val="none" w:sz="0" w:space="0" w:color="auto"/>
        <w:bottom w:val="none" w:sz="0" w:space="0" w:color="auto"/>
        <w:right w:val="none" w:sz="0" w:space="0" w:color="auto"/>
      </w:divBdr>
    </w:div>
    <w:div w:id="430200343">
      <w:bodyDiv w:val="1"/>
      <w:marLeft w:val="0"/>
      <w:marRight w:val="0"/>
      <w:marTop w:val="0"/>
      <w:marBottom w:val="0"/>
      <w:divBdr>
        <w:top w:val="none" w:sz="0" w:space="0" w:color="auto"/>
        <w:left w:val="none" w:sz="0" w:space="0" w:color="auto"/>
        <w:bottom w:val="none" w:sz="0" w:space="0" w:color="auto"/>
        <w:right w:val="none" w:sz="0" w:space="0" w:color="auto"/>
      </w:divBdr>
    </w:div>
    <w:div w:id="432625818">
      <w:bodyDiv w:val="1"/>
      <w:marLeft w:val="0"/>
      <w:marRight w:val="0"/>
      <w:marTop w:val="0"/>
      <w:marBottom w:val="0"/>
      <w:divBdr>
        <w:top w:val="none" w:sz="0" w:space="0" w:color="auto"/>
        <w:left w:val="none" w:sz="0" w:space="0" w:color="auto"/>
        <w:bottom w:val="none" w:sz="0" w:space="0" w:color="auto"/>
        <w:right w:val="none" w:sz="0" w:space="0" w:color="auto"/>
      </w:divBdr>
    </w:div>
    <w:div w:id="438647847">
      <w:bodyDiv w:val="1"/>
      <w:marLeft w:val="0"/>
      <w:marRight w:val="0"/>
      <w:marTop w:val="0"/>
      <w:marBottom w:val="0"/>
      <w:divBdr>
        <w:top w:val="none" w:sz="0" w:space="0" w:color="auto"/>
        <w:left w:val="none" w:sz="0" w:space="0" w:color="auto"/>
        <w:bottom w:val="none" w:sz="0" w:space="0" w:color="auto"/>
        <w:right w:val="none" w:sz="0" w:space="0" w:color="auto"/>
      </w:divBdr>
    </w:div>
    <w:div w:id="463163539">
      <w:bodyDiv w:val="1"/>
      <w:marLeft w:val="0"/>
      <w:marRight w:val="0"/>
      <w:marTop w:val="0"/>
      <w:marBottom w:val="0"/>
      <w:divBdr>
        <w:top w:val="none" w:sz="0" w:space="0" w:color="auto"/>
        <w:left w:val="none" w:sz="0" w:space="0" w:color="auto"/>
        <w:bottom w:val="none" w:sz="0" w:space="0" w:color="auto"/>
        <w:right w:val="none" w:sz="0" w:space="0" w:color="auto"/>
      </w:divBdr>
    </w:div>
    <w:div w:id="501244432">
      <w:bodyDiv w:val="1"/>
      <w:marLeft w:val="0"/>
      <w:marRight w:val="0"/>
      <w:marTop w:val="0"/>
      <w:marBottom w:val="0"/>
      <w:divBdr>
        <w:top w:val="none" w:sz="0" w:space="0" w:color="auto"/>
        <w:left w:val="none" w:sz="0" w:space="0" w:color="auto"/>
        <w:bottom w:val="none" w:sz="0" w:space="0" w:color="auto"/>
        <w:right w:val="none" w:sz="0" w:space="0" w:color="auto"/>
      </w:divBdr>
    </w:div>
    <w:div w:id="515997540">
      <w:bodyDiv w:val="1"/>
      <w:marLeft w:val="0"/>
      <w:marRight w:val="0"/>
      <w:marTop w:val="0"/>
      <w:marBottom w:val="0"/>
      <w:divBdr>
        <w:top w:val="none" w:sz="0" w:space="0" w:color="auto"/>
        <w:left w:val="none" w:sz="0" w:space="0" w:color="auto"/>
        <w:bottom w:val="none" w:sz="0" w:space="0" w:color="auto"/>
        <w:right w:val="none" w:sz="0" w:space="0" w:color="auto"/>
      </w:divBdr>
    </w:div>
    <w:div w:id="551426974">
      <w:bodyDiv w:val="1"/>
      <w:marLeft w:val="0"/>
      <w:marRight w:val="0"/>
      <w:marTop w:val="0"/>
      <w:marBottom w:val="0"/>
      <w:divBdr>
        <w:top w:val="none" w:sz="0" w:space="0" w:color="auto"/>
        <w:left w:val="none" w:sz="0" w:space="0" w:color="auto"/>
        <w:bottom w:val="none" w:sz="0" w:space="0" w:color="auto"/>
        <w:right w:val="none" w:sz="0" w:space="0" w:color="auto"/>
      </w:divBdr>
    </w:div>
    <w:div w:id="559949266">
      <w:bodyDiv w:val="1"/>
      <w:marLeft w:val="0"/>
      <w:marRight w:val="0"/>
      <w:marTop w:val="0"/>
      <w:marBottom w:val="0"/>
      <w:divBdr>
        <w:top w:val="none" w:sz="0" w:space="0" w:color="auto"/>
        <w:left w:val="none" w:sz="0" w:space="0" w:color="auto"/>
        <w:bottom w:val="none" w:sz="0" w:space="0" w:color="auto"/>
        <w:right w:val="none" w:sz="0" w:space="0" w:color="auto"/>
      </w:divBdr>
    </w:div>
    <w:div w:id="577130085">
      <w:bodyDiv w:val="1"/>
      <w:marLeft w:val="0"/>
      <w:marRight w:val="0"/>
      <w:marTop w:val="0"/>
      <w:marBottom w:val="0"/>
      <w:divBdr>
        <w:top w:val="none" w:sz="0" w:space="0" w:color="auto"/>
        <w:left w:val="none" w:sz="0" w:space="0" w:color="auto"/>
        <w:bottom w:val="none" w:sz="0" w:space="0" w:color="auto"/>
        <w:right w:val="none" w:sz="0" w:space="0" w:color="auto"/>
      </w:divBdr>
    </w:div>
    <w:div w:id="609120678">
      <w:bodyDiv w:val="1"/>
      <w:marLeft w:val="0"/>
      <w:marRight w:val="0"/>
      <w:marTop w:val="0"/>
      <w:marBottom w:val="0"/>
      <w:divBdr>
        <w:top w:val="none" w:sz="0" w:space="0" w:color="auto"/>
        <w:left w:val="none" w:sz="0" w:space="0" w:color="auto"/>
        <w:bottom w:val="none" w:sz="0" w:space="0" w:color="auto"/>
        <w:right w:val="none" w:sz="0" w:space="0" w:color="auto"/>
      </w:divBdr>
    </w:div>
    <w:div w:id="617566860">
      <w:bodyDiv w:val="1"/>
      <w:marLeft w:val="0"/>
      <w:marRight w:val="0"/>
      <w:marTop w:val="0"/>
      <w:marBottom w:val="0"/>
      <w:divBdr>
        <w:top w:val="none" w:sz="0" w:space="0" w:color="auto"/>
        <w:left w:val="none" w:sz="0" w:space="0" w:color="auto"/>
        <w:bottom w:val="none" w:sz="0" w:space="0" w:color="auto"/>
        <w:right w:val="none" w:sz="0" w:space="0" w:color="auto"/>
      </w:divBdr>
    </w:div>
    <w:div w:id="620066830">
      <w:bodyDiv w:val="1"/>
      <w:marLeft w:val="0"/>
      <w:marRight w:val="0"/>
      <w:marTop w:val="0"/>
      <w:marBottom w:val="0"/>
      <w:divBdr>
        <w:top w:val="none" w:sz="0" w:space="0" w:color="auto"/>
        <w:left w:val="none" w:sz="0" w:space="0" w:color="auto"/>
        <w:bottom w:val="none" w:sz="0" w:space="0" w:color="auto"/>
        <w:right w:val="none" w:sz="0" w:space="0" w:color="auto"/>
      </w:divBdr>
    </w:div>
    <w:div w:id="627975616">
      <w:bodyDiv w:val="1"/>
      <w:marLeft w:val="0"/>
      <w:marRight w:val="0"/>
      <w:marTop w:val="0"/>
      <w:marBottom w:val="0"/>
      <w:divBdr>
        <w:top w:val="none" w:sz="0" w:space="0" w:color="auto"/>
        <w:left w:val="none" w:sz="0" w:space="0" w:color="auto"/>
        <w:bottom w:val="none" w:sz="0" w:space="0" w:color="auto"/>
        <w:right w:val="none" w:sz="0" w:space="0" w:color="auto"/>
      </w:divBdr>
    </w:div>
    <w:div w:id="634651317">
      <w:bodyDiv w:val="1"/>
      <w:marLeft w:val="0"/>
      <w:marRight w:val="0"/>
      <w:marTop w:val="0"/>
      <w:marBottom w:val="0"/>
      <w:divBdr>
        <w:top w:val="none" w:sz="0" w:space="0" w:color="auto"/>
        <w:left w:val="none" w:sz="0" w:space="0" w:color="auto"/>
        <w:bottom w:val="none" w:sz="0" w:space="0" w:color="auto"/>
        <w:right w:val="none" w:sz="0" w:space="0" w:color="auto"/>
      </w:divBdr>
    </w:div>
    <w:div w:id="635568996">
      <w:bodyDiv w:val="1"/>
      <w:marLeft w:val="0"/>
      <w:marRight w:val="0"/>
      <w:marTop w:val="0"/>
      <w:marBottom w:val="0"/>
      <w:divBdr>
        <w:top w:val="none" w:sz="0" w:space="0" w:color="auto"/>
        <w:left w:val="none" w:sz="0" w:space="0" w:color="auto"/>
        <w:bottom w:val="none" w:sz="0" w:space="0" w:color="auto"/>
        <w:right w:val="none" w:sz="0" w:space="0" w:color="auto"/>
      </w:divBdr>
    </w:div>
    <w:div w:id="644285246">
      <w:bodyDiv w:val="1"/>
      <w:marLeft w:val="0"/>
      <w:marRight w:val="0"/>
      <w:marTop w:val="0"/>
      <w:marBottom w:val="0"/>
      <w:divBdr>
        <w:top w:val="none" w:sz="0" w:space="0" w:color="auto"/>
        <w:left w:val="none" w:sz="0" w:space="0" w:color="auto"/>
        <w:bottom w:val="none" w:sz="0" w:space="0" w:color="auto"/>
        <w:right w:val="none" w:sz="0" w:space="0" w:color="auto"/>
      </w:divBdr>
    </w:div>
    <w:div w:id="678315890">
      <w:bodyDiv w:val="1"/>
      <w:marLeft w:val="0"/>
      <w:marRight w:val="0"/>
      <w:marTop w:val="0"/>
      <w:marBottom w:val="0"/>
      <w:divBdr>
        <w:top w:val="none" w:sz="0" w:space="0" w:color="auto"/>
        <w:left w:val="none" w:sz="0" w:space="0" w:color="auto"/>
        <w:bottom w:val="none" w:sz="0" w:space="0" w:color="auto"/>
        <w:right w:val="none" w:sz="0" w:space="0" w:color="auto"/>
      </w:divBdr>
    </w:div>
    <w:div w:id="700594425">
      <w:bodyDiv w:val="1"/>
      <w:marLeft w:val="0"/>
      <w:marRight w:val="0"/>
      <w:marTop w:val="0"/>
      <w:marBottom w:val="0"/>
      <w:divBdr>
        <w:top w:val="none" w:sz="0" w:space="0" w:color="auto"/>
        <w:left w:val="none" w:sz="0" w:space="0" w:color="auto"/>
        <w:bottom w:val="none" w:sz="0" w:space="0" w:color="auto"/>
        <w:right w:val="none" w:sz="0" w:space="0" w:color="auto"/>
      </w:divBdr>
    </w:div>
    <w:div w:id="712733999">
      <w:bodyDiv w:val="1"/>
      <w:marLeft w:val="0"/>
      <w:marRight w:val="0"/>
      <w:marTop w:val="0"/>
      <w:marBottom w:val="0"/>
      <w:divBdr>
        <w:top w:val="none" w:sz="0" w:space="0" w:color="auto"/>
        <w:left w:val="none" w:sz="0" w:space="0" w:color="auto"/>
        <w:bottom w:val="none" w:sz="0" w:space="0" w:color="auto"/>
        <w:right w:val="none" w:sz="0" w:space="0" w:color="auto"/>
      </w:divBdr>
    </w:div>
    <w:div w:id="745372576">
      <w:bodyDiv w:val="1"/>
      <w:marLeft w:val="0"/>
      <w:marRight w:val="0"/>
      <w:marTop w:val="0"/>
      <w:marBottom w:val="0"/>
      <w:divBdr>
        <w:top w:val="none" w:sz="0" w:space="0" w:color="auto"/>
        <w:left w:val="none" w:sz="0" w:space="0" w:color="auto"/>
        <w:bottom w:val="none" w:sz="0" w:space="0" w:color="auto"/>
        <w:right w:val="none" w:sz="0" w:space="0" w:color="auto"/>
      </w:divBdr>
    </w:div>
    <w:div w:id="749667160">
      <w:bodyDiv w:val="1"/>
      <w:marLeft w:val="0"/>
      <w:marRight w:val="0"/>
      <w:marTop w:val="0"/>
      <w:marBottom w:val="0"/>
      <w:divBdr>
        <w:top w:val="none" w:sz="0" w:space="0" w:color="auto"/>
        <w:left w:val="none" w:sz="0" w:space="0" w:color="auto"/>
        <w:bottom w:val="none" w:sz="0" w:space="0" w:color="auto"/>
        <w:right w:val="none" w:sz="0" w:space="0" w:color="auto"/>
      </w:divBdr>
    </w:div>
    <w:div w:id="761148395">
      <w:bodyDiv w:val="1"/>
      <w:marLeft w:val="0"/>
      <w:marRight w:val="0"/>
      <w:marTop w:val="0"/>
      <w:marBottom w:val="0"/>
      <w:divBdr>
        <w:top w:val="none" w:sz="0" w:space="0" w:color="auto"/>
        <w:left w:val="none" w:sz="0" w:space="0" w:color="auto"/>
        <w:bottom w:val="none" w:sz="0" w:space="0" w:color="auto"/>
        <w:right w:val="none" w:sz="0" w:space="0" w:color="auto"/>
      </w:divBdr>
    </w:div>
    <w:div w:id="777329707">
      <w:bodyDiv w:val="1"/>
      <w:marLeft w:val="0"/>
      <w:marRight w:val="0"/>
      <w:marTop w:val="0"/>
      <w:marBottom w:val="0"/>
      <w:divBdr>
        <w:top w:val="none" w:sz="0" w:space="0" w:color="auto"/>
        <w:left w:val="none" w:sz="0" w:space="0" w:color="auto"/>
        <w:bottom w:val="none" w:sz="0" w:space="0" w:color="auto"/>
        <w:right w:val="none" w:sz="0" w:space="0" w:color="auto"/>
      </w:divBdr>
    </w:div>
    <w:div w:id="787548713">
      <w:bodyDiv w:val="1"/>
      <w:marLeft w:val="0"/>
      <w:marRight w:val="0"/>
      <w:marTop w:val="0"/>
      <w:marBottom w:val="0"/>
      <w:divBdr>
        <w:top w:val="none" w:sz="0" w:space="0" w:color="auto"/>
        <w:left w:val="none" w:sz="0" w:space="0" w:color="auto"/>
        <w:bottom w:val="none" w:sz="0" w:space="0" w:color="auto"/>
        <w:right w:val="none" w:sz="0" w:space="0" w:color="auto"/>
      </w:divBdr>
    </w:div>
    <w:div w:id="805122390">
      <w:bodyDiv w:val="1"/>
      <w:marLeft w:val="0"/>
      <w:marRight w:val="0"/>
      <w:marTop w:val="0"/>
      <w:marBottom w:val="0"/>
      <w:divBdr>
        <w:top w:val="none" w:sz="0" w:space="0" w:color="auto"/>
        <w:left w:val="none" w:sz="0" w:space="0" w:color="auto"/>
        <w:bottom w:val="none" w:sz="0" w:space="0" w:color="auto"/>
        <w:right w:val="none" w:sz="0" w:space="0" w:color="auto"/>
      </w:divBdr>
    </w:div>
    <w:div w:id="853306462">
      <w:bodyDiv w:val="1"/>
      <w:marLeft w:val="0"/>
      <w:marRight w:val="0"/>
      <w:marTop w:val="0"/>
      <w:marBottom w:val="0"/>
      <w:divBdr>
        <w:top w:val="none" w:sz="0" w:space="0" w:color="auto"/>
        <w:left w:val="none" w:sz="0" w:space="0" w:color="auto"/>
        <w:bottom w:val="none" w:sz="0" w:space="0" w:color="auto"/>
        <w:right w:val="none" w:sz="0" w:space="0" w:color="auto"/>
      </w:divBdr>
    </w:div>
    <w:div w:id="853882101">
      <w:bodyDiv w:val="1"/>
      <w:marLeft w:val="0"/>
      <w:marRight w:val="0"/>
      <w:marTop w:val="0"/>
      <w:marBottom w:val="0"/>
      <w:divBdr>
        <w:top w:val="none" w:sz="0" w:space="0" w:color="auto"/>
        <w:left w:val="none" w:sz="0" w:space="0" w:color="auto"/>
        <w:bottom w:val="none" w:sz="0" w:space="0" w:color="auto"/>
        <w:right w:val="none" w:sz="0" w:space="0" w:color="auto"/>
      </w:divBdr>
    </w:div>
    <w:div w:id="864561660">
      <w:bodyDiv w:val="1"/>
      <w:marLeft w:val="0"/>
      <w:marRight w:val="0"/>
      <w:marTop w:val="0"/>
      <w:marBottom w:val="0"/>
      <w:divBdr>
        <w:top w:val="none" w:sz="0" w:space="0" w:color="auto"/>
        <w:left w:val="none" w:sz="0" w:space="0" w:color="auto"/>
        <w:bottom w:val="none" w:sz="0" w:space="0" w:color="auto"/>
        <w:right w:val="none" w:sz="0" w:space="0" w:color="auto"/>
      </w:divBdr>
    </w:div>
    <w:div w:id="867983442">
      <w:bodyDiv w:val="1"/>
      <w:marLeft w:val="0"/>
      <w:marRight w:val="0"/>
      <w:marTop w:val="0"/>
      <w:marBottom w:val="0"/>
      <w:divBdr>
        <w:top w:val="none" w:sz="0" w:space="0" w:color="auto"/>
        <w:left w:val="none" w:sz="0" w:space="0" w:color="auto"/>
        <w:bottom w:val="none" w:sz="0" w:space="0" w:color="auto"/>
        <w:right w:val="none" w:sz="0" w:space="0" w:color="auto"/>
      </w:divBdr>
    </w:div>
    <w:div w:id="871261889">
      <w:bodyDiv w:val="1"/>
      <w:marLeft w:val="0"/>
      <w:marRight w:val="0"/>
      <w:marTop w:val="0"/>
      <w:marBottom w:val="0"/>
      <w:divBdr>
        <w:top w:val="none" w:sz="0" w:space="0" w:color="auto"/>
        <w:left w:val="none" w:sz="0" w:space="0" w:color="auto"/>
        <w:bottom w:val="none" w:sz="0" w:space="0" w:color="auto"/>
        <w:right w:val="none" w:sz="0" w:space="0" w:color="auto"/>
      </w:divBdr>
    </w:div>
    <w:div w:id="885796012">
      <w:bodyDiv w:val="1"/>
      <w:marLeft w:val="0"/>
      <w:marRight w:val="0"/>
      <w:marTop w:val="0"/>
      <w:marBottom w:val="0"/>
      <w:divBdr>
        <w:top w:val="none" w:sz="0" w:space="0" w:color="auto"/>
        <w:left w:val="none" w:sz="0" w:space="0" w:color="auto"/>
        <w:bottom w:val="none" w:sz="0" w:space="0" w:color="auto"/>
        <w:right w:val="none" w:sz="0" w:space="0" w:color="auto"/>
      </w:divBdr>
    </w:div>
    <w:div w:id="888762055">
      <w:bodyDiv w:val="1"/>
      <w:marLeft w:val="0"/>
      <w:marRight w:val="0"/>
      <w:marTop w:val="0"/>
      <w:marBottom w:val="0"/>
      <w:divBdr>
        <w:top w:val="none" w:sz="0" w:space="0" w:color="auto"/>
        <w:left w:val="none" w:sz="0" w:space="0" w:color="auto"/>
        <w:bottom w:val="none" w:sz="0" w:space="0" w:color="auto"/>
        <w:right w:val="none" w:sz="0" w:space="0" w:color="auto"/>
      </w:divBdr>
    </w:div>
    <w:div w:id="894855023">
      <w:bodyDiv w:val="1"/>
      <w:marLeft w:val="0"/>
      <w:marRight w:val="0"/>
      <w:marTop w:val="0"/>
      <w:marBottom w:val="0"/>
      <w:divBdr>
        <w:top w:val="none" w:sz="0" w:space="0" w:color="auto"/>
        <w:left w:val="none" w:sz="0" w:space="0" w:color="auto"/>
        <w:bottom w:val="none" w:sz="0" w:space="0" w:color="auto"/>
        <w:right w:val="none" w:sz="0" w:space="0" w:color="auto"/>
      </w:divBdr>
    </w:div>
    <w:div w:id="902178316">
      <w:bodyDiv w:val="1"/>
      <w:marLeft w:val="0"/>
      <w:marRight w:val="0"/>
      <w:marTop w:val="0"/>
      <w:marBottom w:val="0"/>
      <w:divBdr>
        <w:top w:val="none" w:sz="0" w:space="0" w:color="auto"/>
        <w:left w:val="none" w:sz="0" w:space="0" w:color="auto"/>
        <w:bottom w:val="none" w:sz="0" w:space="0" w:color="auto"/>
        <w:right w:val="none" w:sz="0" w:space="0" w:color="auto"/>
      </w:divBdr>
    </w:div>
    <w:div w:id="902327339">
      <w:bodyDiv w:val="1"/>
      <w:marLeft w:val="0"/>
      <w:marRight w:val="0"/>
      <w:marTop w:val="0"/>
      <w:marBottom w:val="0"/>
      <w:divBdr>
        <w:top w:val="none" w:sz="0" w:space="0" w:color="auto"/>
        <w:left w:val="none" w:sz="0" w:space="0" w:color="auto"/>
        <w:bottom w:val="none" w:sz="0" w:space="0" w:color="auto"/>
        <w:right w:val="none" w:sz="0" w:space="0" w:color="auto"/>
      </w:divBdr>
    </w:div>
    <w:div w:id="926184487">
      <w:bodyDiv w:val="1"/>
      <w:marLeft w:val="0"/>
      <w:marRight w:val="0"/>
      <w:marTop w:val="0"/>
      <w:marBottom w:val="0"/>
      <w:divBdr>
        <w:top w:val="none" w:sz="0" w:space="0" w:color="auto"/>
        <w:left w:val="none" w:sz="0" w:space="0" w:color="auto"/>
        <w:bottom w:val="none" w:sz="0" w:space="0" w:color="auto"/>
        <w:right w:val="none" w:sz="0" w:space="0" w:color="auto"/>
      </w:divBdr>
    </w:div>
    <w:div w:id="948005866">
      <w:bodyDiv w:val="1"/>
      <w:marLeft w:val="0"/>
      <w:marRight w:val="0"/>
      <w:marTop w:val="0"/>
      <w:marBottom w:val="0"/>
      <w:divBdr>
        <w:top w:val="none" w:sz="0" w:space="0" w:color="auto"/>
        <w:left w:val="none" w:sz="0" w:space="0" w:color="auto"/>
        <w:bottom w:val="none" w:sz="0" w:space="0" w:color="auto"/>
        <w:right w:val="none" w:sz="0" w:space="0" w:color="auto"/>
      </w:divBdr>
    </w:div>
    <w:div w:id="953485309">
      <w:bodyDiv w:val="1"/>
      <w:marLeft w:val="0"/>
      <w:marRight w:val="0"/>
      <w:marTop w:val="0"/>
      <w:marBottom w:val="0"/>
      <w:divBdr>
        <w:top w:val="none" w:sz="0" w:space="0" w:color="auto"/>
        <w:left w:val="none" w:sz="0" w:space="0" w:color="auto"/>
        <w:bottom w:val="none" w:sz="0" w:space="0" w:color="auto"/>
        <w:right w:val="none" w:sz="0" w:space="0" w:color="auto"/>
      </w:divBdr>
    </w:div>
    <w:div w:id="955598968">
      <w:bodyDiv w:val="1"/>
      <w:marLeft w:val="0"/>
      <w:marRight w:val="0"/>
      <w:marTop w:val="0"/>
      <w:marBottom w:val="0"/>
      <w:divBdr>
        <w:top w:val="none" w:sz="0" w:space="0" w:color="auto"/>
        <w:left w:val="none" w:sz="0" w:space="0" w:color="auto"/>
        <w:bottom w:val="none" w:sz="0" w:space="0" w:color="auto"/>
        <w:right w:val="none" w:sz="0" w:space="0" w:color="auto"/>
      </w:divBdr>
    </w:div>
    <w:div w:id="961424966">
      <w:bodyDiv w:val="1"/>
      <w:marLeft w:val="0"/>
      <w:marRight w:val="0"/>
      <w:marTop w:val="0"/>
      <w:marBottom w:val="0"/>
      <w:divBdr>
        <w:top w:val="none" w:sz="0" w:space="0" w:color="auto"/>
        <w:left w:val="none" w:sz="0" w:space="0" w:color="auto"/>
        <w:bottom w:val="none" w:sz="0" w:space="0" w:color="auto"/>
        <w:right w:val="none" w:sz="0" w:space="0" w:color="auto"/>
      </w:divBdr>
    </w:div>
    <w:div w:id="974259700">
      <w:bodyDiv w:val="1"/>
      <w:marLeft w:val="0"/>
      <w:marRight w:val="0"/>
      <w:marTop w:val="0"/>
      <w:marBottom w:val="0"/>
      <w:divBdr>
        <w:top w:val="none" w:sz="0" w:space="0" w:color="auto"/>
        <w:left w:val="none" w:sz="0" w:space="0" w:color="auto"/>
        <w:bottom w:val="none" w:sz="0" w:space="0" w:color="auto"/>
        <w:right w:val="none" w:sz="0" w:space="0" w:color="auto"/>
      </w:divBdr>
    </w:div>
    <w:div w:id="981546898">
      <w:bodyDiv w:val="1"/>
      <w:marLeft w:val="0"/>
      <w:marRight w:val="0"/>
      <w:marTop w:val="0"/>
      <w:marBottom w:val="0"/>
      <w:divBdr>
        <w:top w:val="none" w:sz="0" w:space="0" w:color="auto"/>
        <w:left w:val="none" w:sz="0" w:space="0" w:color="auto"/>
        <w:bottom w:val="none" w:sz="0" w:space="0" w:color="auto"/>
        <w:right w:val="none" w:sz="0" w:space="0" w:color="auto"/>
      </w:divBdr>
    </w:div>
    <w:div w:id="1003775416">
      <w:bodyDiv w:val="1"/>
      <w:marLeft w:val="0"/>
      <w:marRight w:val="0"/>
      <w:marTop w:val="0"/>
      <w:marBottom w:val="0"/>
      <w:divBdr>
        <w:top w:val="none" w:sz="0" w:space="0" w:color="auto"/>
        <w:left w:val="none" w:sz="0" w:space="0" w:color="auto"/>
        <w:bottom w:val="none" w:sz="0" w:space="0" w:color="auto"/>
        <w:right w:val="none" w:sz="0" w:space="0" w:color="auto"/>
      </w:divBdr>
    </w:div>
    <w:div w:id="1013342959">
      <w:bodyDiv w:val="1"/>
      <w:marLeft w:val="0"/>
      <w:marRight w:val="0"/>
      <w:marTop w:val="0"/>
      <w:marBottom w:val="0"/>
      <w:divBdr>
        <w:top w:val="none" w:sz="0" w:space="0" w:color="auto"/>
        <w:left w:val="none" w:sz="0" w:space="0" w:color="auto"/>
        <w:bottom w:val="none" w:sz="0" w:space="0" w:color="auto"/>
        <w:right w:val="none" w:sz="0" w:space="0" w:color="auto"/>
      </w:divBdr>
    </w:div>
    <w:div w:id="1029337030">
      <w:bodyDiv w:val="1"/>
      <w:marLeft w:val="0"/>
      <w:marRight w:val="0"/>
      <w:marTop w:val="0"/>
      <w:marBottom w:val="0"/>
      <w:divBdr>
        <w:top w:val="none" w:sz="0" w:space="0" w:color="auto"/>
        <w:left w:val="none" w:sz="0" w:space="0" w:color="auto"/>
        <w:bottom w:val="none" w:sz="0" w:space="0" w:color="auto"/>
        <w:right w:val="none" w:sz="0" w:space="0" w:color="auto"/>
      </w:divBdr>
    </w:div>
    <w:div w:id="1030182017">
      <w:bodyDiv w:val="1"/>
      <w:marLeft w:val="0"/>
      <w:marRight w:val="0"/>
      <w:marTop w:val="0"/>
      <w:marBottom w:val="0"/>
      <w:divBdr>
        <w:top w:val="none" w:sz="0" w:space="0" w:color="auto"/>
        <w:left w:val="none" w:sz="0" w:space="0" w:color="auto"/>
        <w:bottom w:val="none" w:sz="0" w:space="0" w:color="auto"/>
        <w:right w:val="none" w:sz="0" w:space="0" w:color="auto"/>
      </w:divBdr>
    </w:div>
    <w:div w:id="1043016417">
      <w:bodyDiv w:val="1"/>
      <w:marLeft w:val="0"/>
      <w:marRight w:val="0"/>
      <w:marTop w:val="0"/>
      <w:marBottom w:val="0"/>
      <w:divBdr>
        <w:top w:val="none" w:sz="0" w:space="0" w:color="auto"/>
        <w:left w:val="none" w:sz="0" w:space="0" w:color="auto"/>
        <w:bottom w:val="none" w:sz="0" w:space="0" w:color="auto"/>
        <w:right w:val="none" w:sz="0" w:space="0" w:color="auto"/>
      </w:divBdr>
    </w:div>
    <w:div w:id="1060983576">
      <w:bodyDiv w:val="1"/>
      <w:marLeft w:val="0"/>
      <w:marRight w:val="0"/>
      <w:marTop w:val="0"/>
      <w:marBottom w:val="0"/>
      <w:divBdr>
        <w:top w:val="none" w:sz="0" w:space="0" w:color="auto"/>
        <w:left w:val="none" w:sz="0" w:space="0" w:color="auto"/>
        <w:bottom w:val="none" w:sz="0" w:space="0" w:color="auto"/>
        <w:right w:val="none" w:sz="0" w:space="0" w:color="auto"/>
      </w:divBdr>
    </w:div>
    <w:div w:id="1062219707">
      <w:bodyDiv w:val="1"/>
      <w:marLeft w:val="0"/>
      <w:marRight w:val="0"/>
      <w:marTop w:val="0"/>
      <w:marBottom w:val="0"/>
      <w:divBdr>
        <w:top w:val="none" w:sz="0" w:space="0" w:color="auto"/>
        <w:left w:val="none" w:sz="0" w:space="0" w:color="auto"/>
        <w:bottom w:val="none" w:sz="0" w:space="0" w:color="auto"/>
        <w:right w:val="none" w:sz="0" w:space="0" w:color="auto"/>
      </w:divBdr>
    </w:div>
    <w:div w:id="1062404666">
      <w:bodyDiv w:val="1"/>
      <w:marLeft w:val="0"/>
      <w:marRight w:val="0"/>
      <w:marTop w:val="0"/>
      <w:marBottom w:val="0"/>
      <w:divBdr>
        <w:top w:val="none" w:sz="0" w:space="0" w:color="auto"/>
        <w:left w:val="none" w:sz="0" w:space="0" w:color="auto"/>
        <w:bottom w:val="none" w:sz="0" w:space="0" w:color="auto"/>
        <w:right w:val="none" w:sz="0" w:space="0" w:color="auto"/>
      </w:divBdr>
    </w:div>
    <w:div w:id="1063257435">
      <w:bodyDiv w:val="1"/>
      <w:marLeft w:val="0"/>
      <w:marRight w:val="0"/>
      <w:marTop w:val="0"/>
      <w:marBottom w:val="0"/>
      <w:divBdr>
        <w:top w:val="none" w:sz="0" w:space="0" w:color="auto"/>
        <w:left w:val="none" w:sz="0" w:space="0" w:color="auto"/>
        <w:bottom w:val="none" w:sz="0" w:space="0" w:color="auto"/>
        <w:right w:val="none" w:sz="0" w:space="0" w:color="auto"/>
      </w:divBdr>
    </w:div>
    <w:div w:id="1091971542">
      <w:bodyDiv w:val="1"/>
      <w:marLeft w:val="0"/>
      <w:marRight w:val="0"/>
      <w:marTop w:val="0"/>
      <w:marBottom w:val="0"/>
      <w:divBdr>
        <w:top w:val="none" w:sz="0" w:space="0" w:color="auto"/>
        <w:left w:val="none" w:sz="0" w:space="0" w:color="auto"/>
        <w:bottom w:val="none" w:sz="0" w:space="0" w:color="auto"/>
        <w:right w:val="none" w:sz="0" w:space="0" w:color="auto"/>
      </w:divBdr>
    </w:div>
    <w:div w:id="1102842592">
      <w:bodyDiv w:val="1"/>
      <w:marLeft w:val="0"/>
      <w:marRight w:val="0"/>
      <w:marTop w:val="0"/>
      <w:marBottom w:val="0"/>
      <w:divBdr>
        <w:top w:val="none" w:sz="0" w:space="0" w:color="auto"/>
        <w:left w:val="none" w:sz="0" w:space="0" w:color="auto"/>
        <w:bottom w:val="none" w:sz="0" w:space="0" w:color="auto"/>
        <w:right w:val="none" w:sz="0" w:space="0" w:color="auto"/>
      </w:divBdr>
    </w:div>
    <w:div w:id="1115440975">
      <w:bodyDiv w:val="1"/>
      <w:marLeft w:val="0"/>
      <w:marRight w:val="0"/>
      <w:marTop w:val="0"/>
      <w:marBottom w:val="0"/>
      <w:divBdr>
        <w:top w:val="none" w:sz="0" w:space="0" w:color="auto"/>
        <w:left w:val="none" w:sz="0" w:space="0" w:color="auto"/>
        <w:bottom w:val="none" w:sz="0" w:space="0" w:color="auto"/>
        <w:right w:val="none" w:sz="0" w:space="0" w:color="auto"/>
      </w:divBdr>
    </w:div>
    <w:div w:id="1139759480">
      <w:bodyDiv w:val="1"/>
      <w:marLeft w:val="0"/>
      <w:marRight w:val="0"/>
      <w:marTop w:val="0"/>
      <w:marBottom w:val="0"/>
      <w:divBdr>
        <w:top w:val="none" w:sz="0" w:space="0" w:color="auto"/>
        <w:left w:val="none" w:sz="0" w:space="0" w:color="auto"/>
        <w:bottom w:val="none" w:sz="0" w:space="0" w:color="auto"/>
        <w:right w:val="none" w:sz="0" w:space="0" w:color="auto"/>
      </w:divBdr>
    </w:div>
    <w:div w:id="1156724622">
      <w:bodyDiv w:val="1"/>
      <w:marLeft w:val="0"/>
      <w:marRight w:val="0"/>
      <w:marTop w:val="0"/>
      <w:marBottom w:val="0"/>
      <w:divBdr>
        <w:top w:val="none" w:sz="0" w:space="0" w:color="auto"/>
        <w:left w:val="none" w:sz="0" w:space="0" w:color="auto"/>
        <w:bottom w:val="none" w:sz="0" w:space="0" w:color="auto"/>
        <w:right w:val="none" w:sz="0" w:space="0" w:color="auto"/>
      </w:divBdr>
    </w:div>
    <w:div w:id="1163164651">
      <w:bodyDiv w:val="1"/>
      <w:marLeft w:val="0"/>
      <w:marRight w:val="0"/>
      <w:marTop w:val="0"/>
      <w:marBottom w:val="0"/>
      <w:divBdr>
        <w:top w:val="none" w:sz="0" w:space="0" w:color="auto"/>
        <w:left w:val="none" w:sz="0" w:space="0" w:color="auto"/>
        <w:bottom w:val="none" w:sz="0" w:space="0" w:color="auto"/>
        <w:right w:val="none" w:sz="0" w:space="0" w:color="auto"/>
      </w:divBdr>
    </w:div>
    <w:div w:id="1176112612">
      <w:bodyDiv w:val="1"/>
      <w:marLeft w:val="0"/>
      <w:marRight w:val="0"/>
      <w:marTop w:val="0"/>
      <w:marBottom w:val="0"/>
      <w:divBdr>
        <w:top w:val="none" w:sz="0" w:space="0" w:color="auto"/>
        <w:left w:val="none" w:sz="0" w:space="0" w:color="auto"/>
        <w:bottom w:val="none" w:sz="0" w:space="0" w:color="auto"/>
        <w:right w:val="none" w:sz="0" w:space="0" w:color="auto"/>
      </w:divBdr>
    </w:div>
    <w:div w:id="1178740767">
      <w:bodyDiv w:val="1"/>
      <w:marLeft w:val="0"/>
      <w:marRight w:val="0"/>
      <w:marTop w:val="0"/>
      <w:marBottom w:val="0"/>
      <w:divBdr>
        <w:top w:val="none" w:sz="0" w:space="0" w:color="auto"/>
        <w:left w:val="none" w:sz="0" w:space="0" w:color="auto"/>
        <w:bottom w:val="none" w:sz="0" w:space="0" w:color="auto"/>
        <w:right w:val="none" w:sz="0" w:space="0" w:color="auto"/>
      </w:divBdr>
    </w:div>
    <w:div w:id="1181286534">
      <w:bodyDiv w:val="1"/>
      <w:marLeft w:val="0"/>
      <w:marRight w:val="0"/>
      <w:marTop w:val="0"/>
      <w:marBottom w:val="0"/>
      <w:divBdr>
        <w:top w:val="none" w:sz="0" w:space="0" w:color="auto"/>
        <w:left w:val="none" w:sz="0" w:space="0" w:color="auto"/>
        <w:bottom w:val="none" w:sz="0" w:space="0" w:color="auto"/>
        <w:right w:val="none" w:sz="0" w:space="0" w:color="auto"/>
      </w:divBdr>
    </w:div>
    <w:div w:id="1186286594">
      <w:bodyDiv w:val="1"/>
      <w:marLeft w:val="0"/>
      <w:marRight w:val="0"/>
      <w:marTop w:val="0"/>
      <w:marBottom w:val="0"/>
      <w:divBdr>
        <w:top w:val="none" w:sz="0" w:space="0" w:color="auto"/>
        <w:left w:val="none" w:sz="0" w:space="0" w:color="auto"/>
        <w:bottom w:val="none" w:sz="0" w:space="0" w:color="auto"/>
        <w:right w:val="none" w:sz="0" w:space="0" w:color="auto"/>
      </w:divBdr>
    </w:div>
    <w:div w:id="1194273951">
      <w:bodyDiv w:val="1"/>
      <w:marLeft w:val="0"/>
      <w:marRight w:val="0"/>
      <w:marTop w:val="0"/>
      <w:marBottom w:val="0"/>
      <w:divBdr>
        <w:top w:val="none" w:sz="0" w:space="0" w:color="auto"/>
        <w:left w:val="none" w:sz="0" w:space="0" w:color="auto"/>
        <w:bottom w:val="none" w:sz="0" w:space="0" w:color="auto"/>
        <w:right w:val="none" w:sz="0" w:space="0" w:color="auto"/>
      </w:divBdr>
    </w:div>
    <w:div w:id="1202942029">
      <w:bodyDiv w:val="1"/>
      <w:marLeft w:val="0"/>
      <w:marRight w:val="0"/>
      <w:marTop w:val="0"/>
      <w:marBottom w:val="0"/>
      <w:divBdr>
        <w:top w:val="none" w:sz="0" w:space="0" w:color="auto"/>
        <w:left w:val="none" w:sz="0" w:space="0" w:color="auto"/>
        <w:bottom w:val="none" w:sz="0" w:space="0" w:color="auto"/>
        <w:right w:val="none" w:sz="0" w:space="0" w:color="auto"/>
      </w:divBdr>
    </w:div>
    <w:div w:id="1220045903">
      <w:bodyDiv w:val="1"/>
      <w:marLeft w:val="0"/>
      <w:marRight w:val="0"/>
      <w:marTop w:val="0"/>
      <w:marBottom w:val="0"/>
      <w:divBdr>
        <w:top w:val="none" w:sz="0" w:space="0" w:color="auto"/>
        <w:left w:val="none" w:sz="0" w:space="0" w:color="auto"/>
        <w:bottom w:val="none" w:sz="0" w:space="0" w:color="auto"/>
        <w:right w:val="none" w:sz="0" w:space="0" w:color="auto"/>
      </w:divBdr>
    </w:div>
    <w:div w:id="1235892099">
      <w:bodyDiv w:val="1"/>
      <w:marLeft w:val="0"/>
      <w:marRight w:val="0"/>
      <w:marTop w:val="0"/>
      <w:marBottom w:val="0"/>
      <w:divBdr>
        <w:top w:val="none" w:sz="0" w:space="0" w:color="auto"/>
        <w:left w:val="none" w:sz="0" w:space="0" w:color="auto"/>
        <w:bottom w:val="none" w:sz="0" w:space="0" w:color="auto"/>
        <w:right w:val="none" w:sz="0" w:space="0" w:color="auto"/>
      </w:divBdr>
    </w:div>
    <w:div w:id="1288782269">
      <w:bodyDiv w:val="1"/>
      <w:marLeft w:val="0"/>
      <w:marRight w:val="0"/>
      <w:marTop w:val="0"/>
      <w:marBottom w:val="0"/>
      <w:divBdr>
        <w:top w:val="none" w:sz="0" w:space="0" w:color="auto"/>
        <w:left w:val="none" w:sz="0" w:space="0" w:color="auto"/>
        <w:bottom w:val="none" w:sz="0" w:space="0" w:color="auto"/>
        <w:right w:val="none" w:sz="0" w:space="0" w:color="auto"/>
      </w:divBdr>
    </w:div>
    <w:div w:id="1318342062">
      <w:bodyDiv w:val="1"/>
      <w:marLeft w:val="0"/>
      <w:marRight w:val="0"/>
      <w:marTop w:val="0"/>
      <w:marBottom w:val="0"/>
      <w:divBdr>
        <w:top w:val="none" w:sz="0" w:space="0" w:color="auto"/>
        <w:left w:val="none" w:sz="0" w:space="0" w:color="auto"/>
        <w:bottom w:val="none" w:sz="0" w:space="0" w:color="auto"/>
        <w:right w:val="none" w:sz="0" w:space="0" w:color="auto"/>
      </w:divBdr>
    </w:div>
    <w:div w:id="1327897303">
      <w:bodyDiv w:val="1"/>
      <w:marLeft w:val="0"/>
      <w:marRight w:val="0"/>
      <w:marTop w:val="0"/>
      <w:marBottom w:val="0"/>
      <w:divBdr>
        <w:top w:val="none" w:sz="0" w:space="0" w:color="auto"/>
        <w:left w:val="none" w:sz="0" w:space="0" w:color="auto"/>
        <w:bottom w:val="none" w:sz="0" w:space="0" w:color="auto"/>
        <w:right w:val="none" w:sz="0" w:space="0" w:color="auto"/>
      </w:divBdr>
    </w:div>
    <w:div w:id="1391270383">
      <w:bodyDiv w:val="1"/>
      <w:marLeft w:val="0"/>
      <w:marRight w:val="0"/>
      <w:marTop w:val="0"/>
      <w:marBottom w:val="0"/>
      <w:divBdr>
        <w:top w:val="none" w:sz="0" w:space="0" w:color="auto"/>
        <w:left w:val="none" w:sz="0" w:space="0" w:color="auto"/>
        <w:bottom w:val="none" w:sz="0" w:space="0" w:color="auto"/>
        <w:right w:val="none" w:sz="0" w:space="0" w:color="auto"/>
      </w:divBdr>
    </w:div>
    <w:div w:id="1392004515">
      <w:bodyDiv w:val="1"/>
      <w:marLeft w:val="0"/>
      <w:marRight w:val="0"/>
      <w:marTop w:val="0"/>
      <w:marBottom w:val="0"/>
      <w:divBdr>
        <w:top w:val="none" w:sz="0" w:space="0" w:color="auto"/>
        <w:left w:val="none" w:sz="0" w:space="0" w:color="auto"/>
        <w:bottom w:val="none" w:sz="0" w:space="0" w:color="auto"/>
        <w:right w:val="none" w:sz="0" w:space="0" w:color="auto"/>
      </w:divBdr>
    </w:div>
    <w:div w:id="1402215545">
      <w:bodyDiv w:val="1"/>
      <w:marLeft w:val="0"/>
      <w:marRight w:val="0"/>
      <w:marTop w:val="0"/>
      <w:marBottom w:val="0"/>
      <w:divBdr>
        <w:top w:val="none" w:sz="0" w:space="0" w:color="auto"/>
        <w:left w:val="none" w:sz="0" w:space="0" w:color="auto"/>
        <w:bottom w:val="none" w:sz="0" w:space="0" w:color="auto"/>
        <w:right w:val="none" w:sz="0" w:space="0" w:color="auto"/>
      </w:divBdr>
    </w:div>
    <w:div w:id="1421175657">
      <w:bodyDiv w:val="1"/>
      <w:marLeft w:val="0"/>
      <w:marRight w:val="0"/>
      <w:marTop w:val="0"/>
      <w:marBottom w:val="0"/>
      <w:divBdr>
        <w:top w:val="none" w:sz="0" w:space="0" w:color="auto"/>
        <w:left w:val="none" w:sz="0" w:space="0" w:color="auto"/>
        <w:bottom w:val="none" w:sz="0" w:space="0" w:color="auto"/>
        <w:right w:val="none" w:sz="0" w:space="0" w:color="auto"/>
      </w:divBdr>
    </w:div>
    <w:div w:id="1423527441">
      <w:bodyDiv w:val="1"/>
      <w:marLeft w:val="0"/>
      <w:marRight w:val="0"/>
      <w:marTop w:val="0"/>
      <w:marBottom w:val="0"/>
      <w:divBdr>
        <w:top w:val="none" w:sz="0" w:space="0" w:color="auto"/>
        <w:left w:val="none" w:sz="0" w:space="0" w:color="auto"/>
        <w:bottom w:val="none" w:sz="0" w:space="0" w:color="auto"/>
        <w:right w:val="none" w:sz="0" w:space="0" w:color="auto"/>
      </w:divBdr>
    </w:div>
    <w:div w:id="1442141729">
      <w:bodyDiv w:val="1"/>
      <w:marLeft w:val="0"/>
      <w:marRight w:val="0"/>
      <w:marTop w:val="0"/>
      <w:marBottom w:val="0"/>
      <w:divBdr>
        <w:top w:val="none" w:sz="0" w:space="0" w:color="auto"/>
        <w:left w:val="none" w:sz="0" w:space="0" w:color="auto"/>
        <w:bottom w:val="none" w:sz="0" w:space="0" w:color="auto"/>
        <w:right w:val="none" w:sz="0" w:space="0" w:color="auto"/>
      </w:divBdr>
    </w:div>
    <w:div w:id="1447888849">
      <w:bodyDiv w:val="1"/>
      <w:marLeft w:val="0"/>
      <w:marRight w:val="0"/>
      <w:marTop w:val="0"/>
      <w:marBottom w:val="0"/>
      <w:divBdr>
        <w:top w:val="none" w:sz="0" w:space="0" w:color="auto"/>
        <w:left w:val="none" w:sz="0" w:space="0" w:color="auto"/>
        <w:bottom w:val="none" w:sz="0" w:space="0" w:color="auto"/>
        <w:right w:val="none" w:sz="0" w:space="0" w:color="auto"/>
      </w:divBdr>
    </w:div>
    <w:div w:id="1455783452">
      <w:bodyDiv w:val="1"/>
      <w:marLeft w:val="0"/>
      <w:marRight w:val="0"/>
      <w:marTop w:val="0"/>
      <w:marBottom w:val="0"/>
      <w:divBdr>
        <w:top w:val="none" w:sz="0" w:space="0" w:color="auto"/>
        <w:left w:val="none" w:sz="0" w:space="0" w:color="auto"/>
        <w:bottom w:val="none" w:sz="0" w:space="0" w:color="auto"/>
        <w:right w:val="none" w:sz="0" w:space="0" w:color="auto"/>
      </w:divBdr>
    </w:div>
    <w:div w:id="1463184270">
      <w:bodyDiv w:val="1"/>
      <w:marLeft w:val="0"/>
      <w:marRight w:val="0"/>
      <w:marTop w:val="0"/>
      <w:marBottom w:val="0"/>
      <w:divBdr>
        <w:top w:val="none" w:sz="0" w:space="0" w:color="auto"/>
        <w:left w:val="none" w:sz="0" w:space="0" w:color="auto"/>
        <w:bottom w:val="none" w:sz="0" w:space="0" w:color="auto"/>
        <w:right w:val="none" w:sz="0" w:space="0" w:color="auto"/>
      </w:divBdr>
    </w:div>
    <w:div w:id="1476919672">
      <w:bodyDiv w:val="1"/>
      <w:marLeft w:val="0"/>
      <w:marRight w:val="0"/>
      <w:marTop w:val="0"/>
      <w:marBottom w:val="0"/>
      <w:divBdr>
        <w:top w:val="none" w:sz="0" w:space="0" w:color="auto"/>
        <w:left w:val="none" w:sz="0" w:space="0" w:color="auto"/>
        <w:bottom w:val="none" w:sz="0" w:space="0" w:color="auto"/>
        <w:right w:val="none" w:sz="0" w:space="0" w:color="auto"/>
      </w:divBdr>
    </w:div>
    <w:div w:id="1492256255">
      <w:bodyDiv w:val="1"/>
      <w:marLeft w:val="0"/>
      <w:marRight w:val="0"/>
      <w:marTop w:val="0"/>
      <w:marBottom w:val="0"/>
      <w:divBdr>
        <w:top w:val="none" w:sz="0" w:space="0" w:color="auto"/>
        <w:left w:val="none" w:sz="0" w:space="0" w:color="auto"/>
        <w:bottom w:val="none" w:sz="0" w:space="0" w:color="auto"/>
        <w:right w:val="none" w:sz="0" w:space="0" w:color="auto"/>
      </w:divBdr>
    </w:div>
    <w:div w:id="1536505645">
      <w:bodyDiv w:val="1"/>
      <w:marLeft w:val="0"/>
      <w:marRight w:val="0"/>
      <w:marTop w:val="0"/>
      <w:marBottom w:val="0"/>
      <w:divBdr>
        <w:top w:val="none" w:sz="0" w:space="0" w:color="auto"/>
        <w:left w:val="none" w:sz="0" w:space="0" w:color="auto"/>
        <w:bottom w:val="none" w:sz="0" w:space="0" w:color="auto"/>
        <w:right w:val="none" w:sz="0" w:space="0" w:color="auto"/>
      </w:divBdr>
    </w:div>
    <w:div w:id="1544053232">
      <w:bodyDiv w:val="1"/>
      <w:marLeft w:val="0"/>
      <w:marRight w:val="0"/>
      <w:marTop w:val="0"/>
      <w:marBottom w:val="0"/>
      <w:divBdr>
        <w:top w:val="none" w:sz="0" w:space="0" w:color="auto"/>
        <w:left w:val="none" w:sz="0" w:space="0" w:color="auto"/>
        <w:bottom w:val="none" w:sz="0" w:space="0" w:color="auto"/>
        <w:right w:val="none" w:sz="0" w:space="0" w:color="auto"/>
      </w:divBdr>
    </w:div>
    <w:div w:id="1545749188">
      <w:bodyDiv w:val="1"/>
      <w:marLeft w:val="0"/>
      <w:marRight w:val="0"/>
      <w:marTop w:val="0"/>
      <w:marBottom w:val="0"/>
      <w:divBdr>
        <w:top w:val="none" w:sz="0" w:space="0" w:color="auto"/>
        <w:left w:val="none" w:sz="0" w:space="0" w:color="auto"/>
        <w:bottom w:val="none" w:sz="0" w:space="0" w:color="auto"/>
        <w:right w:val="none" w:sz="0" w:space="0" w:color="auto"/>
      </w:divBdr>
    </w:div>
    <w:div w:id="1550726258">
      <w:bodyDiv w:val="1"/>
      <w:marLeft w:val="0"/>
      <w:marRight w:val="0"/>
      <w:marTop w:val="0"/>
      <w:marBottom w:val="0"/>
      <w:divBdr>
        <w:top w:val="none" w:sz="0" w:space="0" w:color="auto"/>
        <w:left w:val="none" w:sz="0" w:space="0" w:color="auto"/>
        <w:bottom w:val="none" w:sz="0" w:space="0" w:color="auto"/>
        <w:right w:val="none" w:sz="0" w:space="0" w:color="auto"/>
      </w:divBdr>
    </w:div>
    <w:div w:id="1560676449">
      <w:bodyDiv w:val="1"/>
      <w:marLeft w:val="0"/>
      <w:marRight w:val="0"/>
      <w:marTop w:val="0"/>
      <w:marBottom w:val="0"/>
      <w:divBdr>
        <w:top w:val="none" w:sz="0" w:space="0" w:color="auto"/>
        <w:left w:val="none" w:sz="0" w:space="0" w:color="auto"/>
        <w:bottom w:val="none" w:sz="0" w:space="0" w:color="auto"/>
        <w:right w:val="none" w:sz="0" w:space="0" w:color="auto"/>
      </w:divBdr>
    </w:div>
    <w:div w:id="1577862471">
      <w:bodyDiv w:val="1"/>
      <w:marLeft w:val="0"/>
      <w:marRight w:val="0"/>
      <w:marTop w:val="0"/>
      <w:marBottom w:val="0"/>
      <w:divBdr>
        <w:top w:val="none" w:sz="0" w:space="0" w:color="auto"/>
        <w:left w:val="none" w:sz="0" w:space="0" w:color="auto"/>
        <w:bottom w:val="none" w:sz="0" w:space="0" w:color="auto"/>
        <w:right w:val="none" w:sz="0" w:space="0" w:color="auto"/>
      </w:divBdr>
    </w:div>
    <w:div w:id="1578663604">
      <w:bodyDiv w:val="1"/>
      <w:marLeft w:val="0"/>
      <w:marRight w:val="0"/>
      <w:marTop w:val="0"/>
      <w:marBottom w:val="0"/>
      <w:divBdr>
        <w:top w:val="none" w:sz="0" w:space="0" w:color="auto"/>
        <w:left w:val="none" w:sz="0" w:space="0" w:color="auto"/>
        <w:bottom w:val="none" w:sz="0" w:space="0" w:color="auto"/>
        <w:right w:val="none" w:sz="0" w:space="0" w:color="auto"/>
      </w:divBdr>
    </w:div>
    <w:div w:id="1614314855">
      <w:bodyDiv w:val="1"/>
      <w:marLeft w:val="0"/>
      <w:marRight w:val="0"/>
      <w:marTop w:val="0"/>
      <w:marBottom w:val="0"/>
      <w:divBdr>
        <w:top w:val="none" w:sz="0" w:space="0" w:color="auto"/>
        <w:left w:val="none" w:sz="0" w:space="0" w:color="auto"/>
        <w:bottom w:val="none" w:sz="0" w:space="0" w:color="auto"/>
        <w:right w:val="none" w:sz="0" w:space="0" w:color="auto"/>
      </w:divBdr>
    </w:div>
    <w:div w:id="1625387663">
      <w:bodyDiv w:val="1"/>
      <w:marLeft w:val="0"/>
      <w:marRight w:val="0"/>
      <w:marTop w:val="0"/>
      <w:marBottom w:val="0"/>
      <w:divBdr>
        <w:top w:val="none" w:sz="0" w:space="0" w:color="auto"/>
        <w:left w:val="none" w:sz="0" w:space="0" w:color="auto"/>
        <w:bottom w:val="none" w:sz="0" w:space="0" w:color="auto"/>
        <w:right w:val="none" w:sz="0" w:space="0" w:color="auto"/>
      </w:divBdr>
    </w:div>
    <w:div w:id="1686594651">
      <w:bodyDiv w:val="1"/>
      <w:marLeft w:val="0"/>
      <w:marRight w:val="0"/>
      <w:marTop w:val="0"/>
      <w:marBottom w:val="0"/>
      <w:divBdr>
        <w:top w:val="none" w:sz="0" w:space="0" w:color="auto"/>
        <w:left w:val="none" w:sz="0" w:space="0" w:color="auto"/>
        <w:bottom w:val="none" w:sz="0" w:space="0" w:color="auto"/>
        <w:right w:val="none" w:sz="0" w:space="0" w:color="auto"/>
      </w:divBdr>
    </w:div>
    <w:div w:id="1692799594">
      <w:bodyDiv w:val="1"/>
      <w:marLeft w:val="0"/>
      <w:marRight w:val="0"/>
      <w:marTop w:val="0"/>
      <w:marBottom w:val="0"/>
      <w:divBdr>
        <w:top w:val="none" w:sz="0" w:space="0" w:color="auto"/>
        <w:left w:val="none" w:sz="0" w:space="0" w:color="auto"/>
        <w:bottom w:val="none" w:sz="0" w:space="0" w:color="auto"/>
        <w:right w:val="none" w:sz="0" w:space="0" w:color="auto"/>
      </w:divBdr>
    </w:div>
    <w:div w:id="1699701752">
      <w:bodyDiv w:val="1"/>
      <w:marLeft w:val="0"/>
      <w:marRight w:val="0"/>
      <w:marTop w:val="0"/>
      <w:marBottom w:val="0"/>
      <w:divBdr>
        <w:top w:val="none" w:sz="0" w:space="0" w:color="auto"/>
        <w:left w:val="none" w:sz="0" w:space="0" w:color="auto"/>
        <w:bottom w:val="none" w:sz="0" w:space="0" w:color="auto"/>
        <w:right w:val="none" w:sz="0" w:space="0" w:color="auto"/>
      </w:divBdr>
    </w:div>
    <w:div w:id="1709838500">
      <w:bodyDiv w:val="1"/>
      <w:marLeft w:val="0"/>
      <w:marRight w:val="0"/>
      <w:marTop w:val="0"/>
      <w:marBottom w:val="0"/>
      <w:divBdr>
        <w:top w:val="none" w:sz="0" w:space="0" w:color="auto"/>
        <w:left w:val="none" w:sz="0" w:space="0" w:color="auto"/>
        <w:bottom w:val="none" w:sz="0" w:space="0" w:color="auto"/>
        <w:right w:val="none" w:sz="0" w:space="0" w:color="auto"/>
      </w:divBdr>
    </w:div>
    <w:div w:id="1716350631">
      <w:bodyDiv w:val="1"/>
      <w:marLeft w:val="0"/>
      <w:marRight w:val="0"/>
      <w:marTop w:val="0"/>
      <w:marBottom w:val="0"/>
      <w:divBdr>
        <w:top w:val="none" w:sz="0" w:space="0" w:color="auto"/>
        <w:left w:val="none" w:sz="0" w:space="0" w:color="auto"/>
        <w:bottom w:val="none" w:sz="0" w:space="0" w:color="auto"/>
        <w:right w:val="none" w:sz="0" w:space="0" w:color="auto"/>
      </w:divBdr>
    </w:div>
    <w:div w:id="1731809175">
      <w:bodyDiv w:val="1"/>
      <w:marLeft w:val="0"/>
      <w:marRight w:val="0"/>
      <w:marTop w:val="0"/>
      <w:marBottom w:val="0"/>
      <w:divBdr>
        <w:top w:val="none" w:sz="0" w:space="0" w:color="auto"/>
        <w:left w:val="none" w:sz="0" w:space="0" w:color="auto"/>
        <w:bottom w:val="none" w:sz="0" w:space="0" w:color="auto"/>
        <w:right w:val="none" w:sz="0" w:space="0" w:color="auto"/>
      </w:divBdr>
    </w:div>
    <w:div w:id="1745835154">
      <w:bodyDiv w:val="1"/>
      <w:marLeft w:val="0"/>
      <w:marRight w:val="0"/>
      <w:marTop w:val="0"/>
      <w:marBottom w:val="0"/>
      <w:divBdr>
        <w:top w:val="none" w:sz="0" w:space="0" w:color="auto"/>
        <w:left w:val="none" w:sz="0" w:space="0" w:color="auto"/>
        <w:bottom w:val="none" w:sz="0" w:space="0" w:color="auto"/>
        <w:right w:val="none" w:sz="0" w:space="0" w:color="auto"/>
      </w:divBdr>
    </w:div>
    <w:div w:id="1747991470">
      <w:bodyDiv w:val="1"/>
      <w:marLeft w:val="0"/>
      <w:marRight w:val="0"/>
      <w:marTop w:val="0"/>
      <w:marBottom w:val="0"/>
      <w:divBdr>
        <w:top w:val="none" w:sz="0" w:space="0" w:color="auto"/>
        <w:left w:val="none" w:sz="0" w:space="0" w:color="auto"/>
        <w:bottom w:val="none" w:sz="0" w:space="0" w:color="auto"/>
        <w:right w:val="none" w:sz="0" w:space="0" w:color="auto"/>
      </w:divBdr>
    </w:div>
    <w:div w:id="1758820778">
      <w:bodyDiv w:val="1"/>
      <w:marLeft w:val="0"/>
      <w:marRight w:val="0"/>
      <w:marTop w:val="0"/>
      <w:marBottom w:val="0"/>
      <w:divBdr>
        <w:top w:val="none" w:sz="0" w:space="0" w:color="auto"/>
        <w:left w:val="none" w:sz="0" w:space="0" w:color="auto"/>
        <w:bottom w:val="none" w:sz="0" w:space="0" w:color="auto"/>
        <w:right w:val="none" w:sz="0" w:space="0" w:color="auto"/>
      </w:divBdr>
    </w:div>
    <w:div w:id="1770152414">
      <w:bodyDiv w:val="1"/>
      <w:marLeft w:val="0"/>
      <w:marRight w:val="0"/>
      <w:marTop w:val="0"/>
      <w:marBottom w:val="0"/>
      <w:divBdr>
        <w:top w:val="none" w:sz="0" w:space="0" w:color="auto"/>
        <w:left w:val="none" w:sz="0" w:space="0" w:color="auto"/>
        <w:bottom w:val="none" w:sz="0" w:space="0" w:color="auto"/>
        <w:right w:val="none" w:sz="0" w:space="0" w:color="auto"/>
      </w:divBdr>
    </w:div>
    <w:div w:id="1774744363">
      <w:bodyDiv w:val="1"/>
      <w:marLeft w:val="0"/>
      <w:marRight w:val="0"/>
      <w:marTop w:val="0"/>
      <w:marBottom w:val="0"/>
      <w:divBdr>
        <w:top w:val="none" w:sz="0" w:space="0" w:color="auto"/>
        <w:left w:val="none" w:sz="0" w:space="0" w:color="auto"/>
        <w:bottom w:val="none" w:sz="0" w:space="0" w:color="auto"/>
        <w:right w:val="none" w:sz="0" w:space="0" w:color="auto"/>
      </w:divBdr>
    </w:div>
    <w:div w:id="1776710840">
      <w:bodyDiv w:val="1"/>
      <w:marLeft w:val="0"/>
      <w:marRight w:val="0"/>
      <w:marTop w:val="0"/>
      <w:marBottom w:val="0"/>
      <w:divBdr>
        <w:top w:val="none" w:sz="0" w:space="0" w:color="auto"/>
        <w:left w:val="none" w:sz="0" w:space="0" w:color="auto"/>
        <w:bottom w:val="none" w:sz="0" w:space="0" w:color="auto"/>
        <w:right w:val="none" w:sz="0" w:space="0" w:color="auto"/>
      </w:divBdr>
    </w:div>
    <w:div w:id="1800145391">
      <w:bodyDiv w:val="1"/>
      <w:marLeft w:val="0"/>
      <w:marRight w:val="0"/>
      <w:marTop w:val="0"/>
      <w:marBottom w:val="0"/>
      <w:divBdr>
        <w:top w:val="none" w:sz="0" w:space="0" w:color="auto"/>
        <w:left w:val="none" w:sz="0" w:space="0" w:color="auto"/>
        <w:bottom w:val="none" w:sz="0" w:space="0" w:color="auto"/>
        <w:right w:val="none" w:sz="0" w:space="0" w:color="auto"/>
      </w:divBdr>
    </w:div>
    <w:div w:id="1812668485">
      <w:bodyDiv w:val="1"/>
      <w:marLeft w:val="0"/>
      <w:marRight w:val="0"/>
      <w:marTop w:val="0"/>
      <w:marBottom w:val="0"/>
      <w:divBdr>
        <w:top w:val="none" w:sz="0" w:space="0" w:color="auto"/>
        <w:left w:val="none" w:sz="0" w:space="0" w:color="auto"/>
        <w:bottom w:val="none" w:sz="0" w:space="0" w:color="auto"/>
        <w:right w:val="none" w:sz="0" w:space="0" w:color="auto"/>
      </w:divBdr>
    </w:div>
    <w:div w:id="1822234022">
      <w:bodyDiv w:val="1"/>
      <w:marLeft w:val="0"/>
      <w:marRight w:val="0"/>
      <w:marTop w:val="0"/>
      <w:marBottom w:val="0"/>
      <w:divBdr>
        <w:top w:val="none" w:sz="0" w:space="0" w:color="auto"/>
        <w:left w:val="none" w:sz="0" w:space="0" w:color="auto"/>
        <w:bottom w:val="none" w:sz="0" w:space="0" w:color="auto"/>
        <w:right w:val="none" w:sz="0" w:space="0" w:color="auto"/>
      </w:divBdr>
    </w:div>
    <w:div w:id="1834098906">
      <w:bodyDiv w:val="1"/>
      <w:marLeft w:val="0"/>
      <w:marRight w:val="0"/>
      <w:marTop w:val="0"/>
      <w:marBottom w:val="0"/>
      <w:divBdr>
        <w:top w:val="none" w:sz="0" w:space="0" w:color="auto"/>
        <w:left w:val="none" w:sz="0" w:space="0" w:color="auto"/>
        <w:bottom w:val="none" w:sz="0" w:space="0" w:color="auto"/>
        <w:right w:val="none" w:sz="0" w:space="0" w:color="auto"/>
      </w:divBdr>
    </w:div>
    <w:div w:id="1851289750">
      <w:bodyDiv w:val="1"/>
      <w:marLeft w:val="0"/>
      <w:marRight w:val="0"/>
      <w:marTop w:val="0"/>
      <w:marBottom w:val="0"/>
      <w:divBdr>
        <w:top w:val="none" w:sz="0" w:space="0" w:color="auto"/>
        <w:left w:val="none" w:sz="0" w:space="0" w:color="auto"/>
        <w:bottom w:val="none" w:sz="0" w:space="0" w:color="auto"/>
        <w:right w:val="none" w:sz="0" w:space="0" w:color="auto"/>
      </w:divBdr>
    </w:div>
    <w:div w:id="1860467033">
      <w:bodyDiv w:val="1"/>
      <w:marLeft w:val="0"/>
      <w:marRight w:val="0"/>
      <w:marTop w:val="0"/>
      <w:marBottom w:val="0"/>
      <w:divBdr>
        <w:top w:val="none" w:sz="0" w:space="0" w:color="auto"/>
        <w:left w:val="none" w:sz="0" w:space="0" w:color="auto"/>
        <w:bottom w:val="none" w:sz="0" w:space="0" w:color="auto"/>
        <w:right w:val="none" w:sz="0" w:space="0" w:color="auto"/>
      </w:divBdr>
    </w:div>
    <w:div w:id="1873610093">
      <w:bodyDiv w:val="1"/>
      <w:marLeft w:val="0"/>
      <w:marRight w:val="0"/>
      <w:marTop w:val="0"/>
      <w:marBottom w:val="0"/>
      <w:divBdr>
        <w:top w:val="none" w:sz="0" w:space="0" w:color="auto"/>
        <w:left w:val="none" w:sz="0" w:space="0" w:color="auto"/>
        <w:bottom w:val="none" w:sz="0" w:space="0" w:color="auto"/>
        <w:right w:val="none" w:sz="0" w:space="0" w:color="auto"/>
      </w:divBdr>
    </w:div>
    <w:div w:id="1906144295">
      <w:bodyDiv w:val="1"/>
      <w:marLeft w:val="0"/>
      <w:marRight w:val="0"/>
      <w:marTop w:val="0"/>
      <w:marBottom w:val="0"/>
      <w:divBdr>
        <w:top w:val="none" w:sz="0" w:space="0" w:color="auto"/>
        <w:left w:val="none" w:sz="0" w:space="0" w:color="auto"/>
        <w:bottom w:val="none" w:sz="0" w:space="0" w:color="auto"/>
        <w:right w:val="none" w:sz="0" w:space="0" w:color="auto"/>
      </w:divBdr>
    </w:div>
    <w:div w:id="1914504676">
      <w:bodyDiv w:val="1"/>
      <w:marLeft w:val="0"/>
      <w:marRight w:val="0"/>
      <w:marTop w:val="0"/>
      <w:marBottom w:val="0"/>
      <w:divBdr>
        <w:top w:val="none" w:sz="0" w:space="0" w:color="auto"/>
        <w:left w:val="none" w:sz="0" w:space="0" w:color="auto"/>
        <w:bottom w:val="none" w:sz="0" w:space="0" w:color="auto"/>
        <w:right w:val="none" w:sz="0" w:space="0" w:color="auto"/>
      </w:divBdr>
    </w:div>
    <w:div w:id="1939871908">
      <w:bodyDiv w:val="1"/>
      <w:marLeft w:val="0"/>
      <w:marRight w:val="0"/>
      <w:marTop w:val="0"/>
      <w:marBottom w:val="0"/>
      <w:divBdr>
        <w:top w:val="none" w:sz="0" w:space="0" w:color="auto"/>
        <w:left w:val="none" w:sz="0" w:space="0" w:color="auto"/>
        <w:bottom w:val="none" w:sz="0" w:space="0" w:color="auto"/>
        <w:right w:val="none" w:sz="0" w:space="0" w:color="auto"/>
      </w:divBdr>
    </w:div>
    <w:div w:id="1957058954">
      <w:bodyDiv w:val="1"/>
      <w:marLeft w:val="0"/>
      <w:marRight w:val="0"/>
      <w:marTop w:val="0"/>
      <w:marBottom w:val="0"/>
      <w:divBdr>
        <w:top w:val="none" w:sz="0" w:space="0" w:color="auto"/>
        <w:left w:val="none" w:sz="0" w:space="0" w:color="auto"/>
        <w:bottom w:val="none" w:sz="0" w:space="0" w:color="auto"/>
        <w:right w:val="none" w:sz="0" w:space="0" w:color="auto"/>
      </w:divBdr>
    </w:div>
    <w:div w:id="1983270312">
      <w:bodyDiv w:val="1"/>
      <w:marLeft w:val="0"/>
      <w:marRight w:val="0"/>
      <w:marTop w:val="0"/>
      <w:marBottom w:val="0"/>
      <w:divBdr>
        <w:top w:val="none" w:sz="0" w:space="0" w:color="auto"/>
        <w:left w:val="none" w:sz="0" w:space="0" w:color="auto"/>
        <w:bottom w:val="none" w:sz="0" w:space="0" w:color="auto"/>
        <w:right w:val="none" w:sz="0" w:space="0" w:color="auto"/>
      </w:divBdr>
    </w:div>
    <w:div w:id="1997800238">
      <w:bodyDiv w:val="1"/>
      <w:marLeft w:val="0"/>
      <w:marRight w:val="0"/>
      <w:marTop w:val="0"/>
      <w:marBottom w:val="0"/>
      <w:divBdr>
        <w:top w:val="none" w:sz="0" w:space="0" w:color="auto"/>
        <w:left w:val="none" w:sz="0" w:space="0" w:color="auto"/>
        <w:bottom w:val="none" w:sz="0" w:space="0" w:color="auto"/>
        <w:right w:val="none" w:sz="0" w:space="0" w:color="auto"/>
      </w:divBdr>
    </w:div>
    <w:div w:id="1999337981">
      <w:bodyDiv w:val="1"/>
      <w:marLeft w:val="0"/>
      <w:marRight w:val="0"/>
      <w:marTop w:val="0"/>
      <w:marBottom w:val="0"/>
      <w:divBdr>
        <w:top w:val="none" w:sz="0" w:space="0" w:color="auto"/>
        <w:left w:val="none" w:sz="0" w:space="0" w:color="auto"/>
        <w:bottom w:val="none" w:sz="0" w:space="0" w:color="auto"/>
        <w:right w:val="none" w:sz="0" w:space="0" w:color="auto"/>
      </w:divBdr>
    </w:div>
    <w:div w:id="1999649319">
      <w:bodyDiv w:val="1"/>
      <w:marLeft w:val="0"/>
      <w:marRight w:val="0"/>
      <w:marTop w:val="0"/>
      <w:marBottom w:val="0"/>
      <w:divBdr>
        <w:top w:val="none" w:sz="0" w:space="0" w:color="auto"/>
        <w:left w:val="none" w:sz="0" w:space="0" w:color="auto"/>
        <w:bottom w:val="none" w:sz="0" w:space="0" w:color="auto"/>
        <w:right w:val="none" w:sz="0" w:space="0" w:color="auto"/>
      </w:divBdr>
    </w:div>
    <w:div w:id="2013024446">
      <w:bodyDiv w:val="1"/>
      <w:marLeft w:val="0"/>
      <w:marRight w:val="0"/>
      <w:marTop w:val="0"/>
      <w:marBottom w:val="0"/>
      <w:divBdr>
        <w:top w:val="none" w:sz="0" w:space="0" w:color="auto"/>
        <w:left w:val="none" w:sz="0" w:space="0" w:color="auto"/>
        <w:bottom w:val="none" w:sz="0" w:space="0" w:color="auto"/>
        <w:right w:val="none" w:sz="0" w:space="0" w:color="auto"/>
      </w:divBdr>
    </w:div>
    <w:div w:id="2014919443">
      <w:bodyDiv w:val="1"/>
      <w:marLeft w:val="0"/>
      <w:marRight w:val="0"/>
      <w:marTop w:val="0"/>
      <w:marBottom w:val="0"/>
      <w:divBdr>
        <w:top w:val="none" w:sz="0" w:space="0" w:color="auto"/>
        <w:left w:val="none" w:sz="0" w:space="0" w:color="auto"/>
        <w:bottom w:val="none" w:sz="0" w:space="0" w:color="auto"/>
        <w:right w:val="none" w:sz="0" w:space="0" w:color="auto"/>
      </w:divBdr>
    </w:div>
    <w:div w:id="2025325439">
      <w:bodyDiv w:val="1"/>
      <w:marLeft w:val="0"/>
      <w:marRight w:val="0"/>
      <w:marTop w:val="0"/>
      <w:marBottom w:val="0"/>
      <w:divBdr>
        <w:top w:val="none" w:sz="0" w:space="0" w:color="auto"/>
        <w:left w:val="none" w:sz="0" w:space="0" w:color="auto"/>
        <w:bottom w:val="none" w:sz="0" w:space="0" w:color="auto"/>
        <w:right w:val="none" w:sz="0" w:space="0" w:color="auto"/>
      </w:divBdr>
    </w:div>
    <w:div w:id="2027172337">
      <w:bodyDiv w:val="1"/>
      <w:marLeft w:val="0"/>
      <w:marRight w:val="0"/>
      <w:marTop w:val="0"/>
      <w:marBottom w:val="0"/>
      <w:divBdr>
        <w:top w:val="none" w:sz="0" w:space="0" w:color="auto"/>
        <w:left w:val="none" w:sz="0" w:space="0" w:color="auto"/>
        <w:bottom w:val="none" w:sz="0" w:space="0" w:color="auto"/>
        <w:right w:val="none" w:sz="0" w:space="0" w:color="auto"/>
      </w:divBdr>
    </w:div>
    <w:div w:id="2031370528">
      <w:bodyDiv w:val="1"/>
      <w:marLeft w:val="0"/>
      <w:marRight w:val="0"/>
      <w:marTop w:val="0"/>
      <w:marBottom w:val="0"/>
      <w:divBdr>
        <w:top w:val="none" w:sz="0" w:space="0" w:color="auto"/>
        <w:left w:val="none" w:sz="0" w:space="0" w:color="auto"/>
        <w:bottom w:val="none" w:sz="0" w:space="0" w:color="auto"/>
        <w:right w:val="none" w:sz="0" w:space="0" w:color="auto"/>
      </w:divBdr>
    </w:div>
    <w:div w:id="2051109089">
      <w:bodyDiv w:val="1"/>
      <w:marLeft w:val="0"/>
      <w:marRight w:val="0"/>
      <w:marTop w:val="0"/>
      <w:marBottom w:val="0"/>
      <w:divBdr>
        <w:top w:val="none" w:sz="0" w:space="0" w:color="auto"/>
        <w:left w:val="none" w:sz="0" w:space="0" w:color="auto"/>
        <w:bottom w:val="none" w:sz="0" w:space="0" w:color="auto"/>
        <w:right w:val="none" w:sz="0" w:space="0" w:color="auto"/>
      </w:divBdr>
    </w:div>
    <w:div w:id="2085100372">
      <w:bodyDiv w:val="1"/>
      <w:marLeft w:val="0"/>
      <w:marRight w:val="0"/>
      <w:marTop w:val="0"/>
      <w:marBottom w:val="0"/>
      <w:divBdr>
        <w:top w:val="none" w:sz="0" w:space="0" w:color="auto"/>
        <w:left w:val="none" w:sz="0" w:space="0" w:color="auto"/>
        <w:bottom w:val="none" w:sz="0" w:space="0" w:color="auto"/>
        <w:right w:val="none" w:sz="0" w:space="0" w:color="auto"/>
      </w:divBdr>
    </w:div>
    <w:div w:id="2113359710">
      <w:bodyDiv w:val="1"/>
      <w:marLeft w:val="0"/>
      <w:marRight w:val="0"/>
      <w:marTop w:val="0"/>
      <w:marBottom w:val="0"/>
      <w:divBdr>
        <w:top w:val="none" w:sz="0" w:space="0" w:color="auto"/>
        <w:left w:val="none" w:sz="0" w:space="0" w:color="auto"/>
        <w:bottom w:val="none" w:sz="0" w:space="0" w:color="auto"/>
        <w:right w:val="none" w:sz="0" w:space="0" w:color="auto"/>
      </w:divBdr>
    </w:div>
    <w:div w:id="2115009300">
      <w:bodyDiv w:val="1"/>
      <w:marLeft w:val="0"/>
      <w:marRight w:val="0"/>
      <w:marTop w:val="0"/>
      <w:marBottom w:val="0"/>
      <w:divBdr>
        <w:top w:val="none" w:sz="0" w:space="0" w:color="auto"/>
        <w:left w:val="none" w:sz="0" w:space="0" w:color="auto"/>
        <w:bottom w:val="none" w:sz="0" w:space="0" w:color="auto"/>
        <w:right w:val="none" w:sz="0" w:space="0" w:color="auto"/>
      </w:divBdr>
    </w:div>
    <w:div w:id="2140537186">
      <w:bodyDiv w:val="1"/>
      <w:marLeft w:val="0"/>
      <w:marRight w:val="0"/>
      <w:marTop w:val="0"/>
      <w:marBottom w:val="0"/>
      <w:divBdr>
        <w:top w:val="none" w:sz="0" w:space="0" w:color="auto"/>
        <w:left w:val="none" w:sz="0" w:space="0" w:color="auto"/>
        <w:bottom w:val="none" w:sz="0" w:space="0" w:color="auto"/>
        <w:right w:val="none" w:sz="0" w:space="0" w:color="auto"/>
      </w:divBdr>
    </w:div>
    <w:div w:id="2141683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meru.go.ke" TargetMode="External"/><Relationship Id="rId18" Type="http://schemas.openxmlformats.org/officeDocument/2006/relationships/image" Target="media/image3.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Email:%20merucounty@meru.go.ke%20" TargetMode="External"/><Relationship Id="rId17"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Dinah%20Gaceri\Desktop\New%20folder%20(3)\-CBROP%20final%20tables%20%20FY%202018-1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'Table 2.2'!$D$2</c:f>
              <c:strCache>
                <c:ptCount val="1"/>
                <c:pt idx="0">
                  <c:v>1st Quarter</c:v>
                </c:pt>
              </c:strCache>
            </c:strRef>
          </c:tx>
          <c:invertIfNegative val="0"/>
          <c:val>
            <c:numRef>
              <c:f>'Table 2.2'!$D$3:$D$26</c:f>
              <c:numCache>
                <c:formatCode>_(* #,##0.00_);_(* \(#,##0.00\);_(* "-"??_);_(@_)</c:formatCode>
                <c:ptCount val="24"/>
                <c:pt idx="0">
                  <c:v>1438600</c:v>
                </c:pt>
                <c:pt idx="1">
                  <c:v>11143790</c:v>
                </c:pt>
                <c:pt idx="2">
                  <c:v>43700</c:v>
                </c:pt>
                <c:pt idx="3">
                  <c:v>741621</c:v>
                </c:pt>
                <c:pt idx="4">
                  <c:v>7715905</c:v>
                </c:pt>
                <c:pt idx="5">
                  <c:v>20397107</c:v>
                </c:pt>
                <c:pt idx="6">
                  <c:v>19163925</c:v>
                </c:pt>
                <c:pt idx="7">
                  <c:v>2857780</c:v>
                </c:pt>
                <c:pt idx="8">
                  <c:v>17481980.199999999</c:v>
                </c:pt>
                <c:pt idx="9">
                  <c:v>7970489</c:v>
                </c:pt>
                <c:pt idx="10">
                  <c:v>11710915</c:v>
                </c:pt>
                <c:pt idx="11">
                  <c:v>261783</c:v>
                </c:pt>
                <c:pt idx="12">
                  <c:v>69000</c:v>
                </c:pt>
                <c:pt idx="13">
                  <c:v>608000</c:v>
                </c:pt>
                <c:pt idx="14">
                  <c:v>3000</c:v>
                </c:pt>
                <c:pt idx="15">
                  <c:v>489580</c:v>
                </c:pt>
                <c:pt idx="16">
                  <c:v>445307</c:v>
                </c:pt>
                <c:pt idx="17">
                  <c:v>13000</c:v>
                </c:pt>
                <c:pt idx="18">
                  <c:v>23200</c:v>
                </c:pt>
                <c:pt idx="19">
                  <c:v>48000</c:v>
                </c:pt>
                <c:pt idx="20">
                  <c:v>633470</c:v>
                </c:pt>
                <c:pt idx="21">
                  <c:v>2530400.2999999998</c:v>
                </c:pt>
                <c:pt idx="23">
                  <c:v>105790552.5</c:v>
                </c:pt>
              </c:numCache>
            </c:numRef>
          </c:val>
          <c:extLst>
            <c:ext xmlns:c16="http://schemas.microsoft.com/office/drawing/2014/chart" uri="{C3380CC4-5D6E-409C-BE32-E72D297353CC}">
              <c16:uniqueId val="{00000000-4F87-4862-8161-6C3CFCCEBDDA}"/>
            </c:ext>
          </c:extLst>
        </c:ser>
        <c:ser>
          <c:idx val="1"/>
          <c:order val="1"/>
          <c:tx>
            <c:strRef>
              <c:f>'Table 2.2'!$E$2</c:f>
              <c:strCache>
                <c:ptCount val="1"/>
                <c:pt idx="0">
                  <c:v>2nd Quarter</c:v>
                </c:pt>
              </c:strCache>
            </c:strRef>
          </c:tx>
          <c:invertIfNegative val="0"/>
          <c:val>
            <c:numRef>
              <c:f>'Table 2.2'!$E$3:$E$26</c:f>
              <c:numCache>
                <c:formatCode>_(* #,##0.00_);_(* \(#,##0.00\);_(* "-"??_);_(@_)</c:formatCode>
                <c:ptCount val="24"/>
                <c:pt idx="0">
                  <c:v>1384810</c:v>
                </c:pt>
                <c:pt idx="1">
                  <c:v>10809625</c:v>
                </c:pt>
                <c:pt idx="2">
                  <c:v>159400</c:v>
                </c:pt>
                <c:pt idx="3">
                  <c:v>821217</c:v>
                </c:pt>
                <c:pt idx="4">
                  <c:v>13171436.93</c:v>
                </c:pt>
                <c:pt idx="5">
                  <c:v>8451900</c:v>
                </c:pt>
                <c:pt idx="6">
                  <c:v>18498325</c:v>
                </c:pt>
                <c:pt idx="7">
                  <c:v>2276939</c:v>
                </c:pt>
                <c:pt idx="8">
                  <c:v>16740744.9</c:v>
                </c:pt>
                <c:pt idx="9">
                  <c:v>3970364</c:v>
                </c:pt>
                <c:pt idx="10">
                  <c:v>6745315</c:v>
                </c:pt>
                <c:pt idx="11">
                  <c:v>239600</c:v>
                </c:pt>
                <c:pt idx="12">
                  <c:v>16000</c:v>
                </c:pt>
                <c:pt idx="13">
                  <c:v>248800</c:v>
                </c:pt>
                <c:pt idx="14">
                  <c:v>0</c:v>
                </c:pt>
                <c:pt idx="15">
                  <c:v>413949.77</c:v>
                </c:pt>
                <c:pt idx="16">
                  <c:v>1587801.25</c:v>
                </c:pt>
                <c:pt idx="17">
                  <c:v>0</c:v>
                </c:pt>
                <c:pt idx="18">
                  <c:v>54400</c:v>
                </c:pt>
                <c:pt idx="19">
                  <c:v>100000</c:v>
                </c:pt>
                <c:pt idx="20">
                  <c:v>106150</c:v>
                </c:pt>
                <c:pt idx="21">
                  <c:v>551530</c:v>
                </c:pt>
                <c:pt idx="23">
                  <c:v>86348307.849999994</c:v>
                </c:pt>
              </c:numCache>
            </c:numRef>
          </c:val>
          <c:extLst>
            <c:ext xmlns:c16="http://schemas.microsoft.com/office/drawing/2014/chart" uri="{C3380CC4-5D6E-409C-BE32-E72D297353CC}">
              <c16:uniqueId val="{00000001-4F87-4862-8161-6C3CFCCEBDDA}"/>
            </c:ext>
          </c:extLst>
        </c:ser>
        <c:ser>
          <c:idx val="2"/>
          <c:order val="2"/>
          <c:tx>
            <c:strRef>
              <c:f>'Table 2.2'!$F$2</c:f>
              <c:strCache>
                <c:ptCount val="1"/>
                <c:pt idx="0">
                  <c:v>3rd Quarter</c:v>
                </c:pt>
              </c:strCache>
            </c:strRef>
          </c:tx>
          <c:invertIfNegative val="0"/>
          <c:val>
            <c:numRef>
              <c:f>'Table 2.2'!$F$3:$F$26</c:f>
              <c:numCache>
                <c:formatCode>_(* #,##0.00_);_(* \(#,##0.00\);_(* "-"??_);_(@_)</c:formatCode>
                <c:ptCount val="24"/>
                <c:pt idx="0">
                  <c:v>1381715</c:v>
                </c:pt>
                <c:pt idx="1">
                  <c:v>12134500</c:v>
                </c:pt>
                <c:pt idx="2">
                  <c:v>92800</c:v>
                </c:pt>
                <c:pt idx="3">
                  <c:v>2166225</c:v>
                </c:pt>
                <c:pt idx="4">
                  <c:v>13665584.719999999</c:v>
                </c:pt>
                <c:pt idx="5">
                  <c:v>105678620</c:v>
                </c:pt>
                <c:pt idx="6">
                  <c:v>20557903</c:v>
                </c:pt>
                <c:pt idx="7">
                  <c:v>2532980</c:v>
                </c:pt>
                <c:pt idx="8">
                  <c:v>19079788.449999999</c:v>
                </c:pt>
                <c:pt idx="9">
                  <c:v>5337201</c:v>
                </c:pt>
                <c:pt idx="10">
                  <c:v>15127220</c:v>
                </c:pt>
                <c:pt idx="11">
                  <c:v>157600</c:v>
                </c:pt>
                <c:pt idx="12">
                  <c:v>138500</c:v>
                </c:pt>
                <c:pt idx="13">
                  <c:v>570175</c:v>
                </c:pt>
                <c:pt idx="14">
                  <c:v>0</c:v>
                </c:pt>
                <c:pt idx="15">
                  <c:v>400615</c:v>
                </c:pt>
                <c:pt idx="16">
                  <c:v>767715</c:v>
                </c:pt>
                <c:pt idx="17">
                  <c:v>14600</c:v>
                </c:pt>
                <c:pt idx="18">
                  <c:v>64000</c:v>
                </c:pt>
                <c:pt idx="19">
                  <c:v>111700</c:v>
                </c:pt>
                <c:pt idx="20">
                  <c:v>533000</c:v>
                </c:pt>
                <c:pt idx="21">
                  <c:v>661750</c:v>
                </c:pt>
                <c:pt idx="23">
                  <c:v>201174192.16999999</c:v>
                </c:pt>
              </c:numCache>
            </c:numRef>
          </c:val>
          <c:extLst>
            <c:ext xmlns:c16="http://schemas.microsoft.com/office/drawing/2014/chart" uri="{C3380CC4-5D6E-409C-BE32-E72D297353CC}">
              <c16:uniqueId val="{00000002-4F87-4862-8161-6C3CFCCEBDDA}"/>
            </c:ext>
          </c:extLst>
        </c:ser>
        <c:ser>
          <c:idx val="3"/>
          <c:order val="3"/>
          <c:tx>
            <c:strRef>
              <c:f>'Table 2.2'!$G$2</c:f>
              <c:strCache>
                <c:ptCount val="1"/>
                <c:pt idx="0">
                  <c:v>4th Quarter</c:v>
                </c:pt>
              </c:strCache>
            </c:strRef>
          </c:tx>
          <c:invertIfNegative val="0"/>
          <c:val>
            <c:numRef>
              <c:f>'Table 2.2'!$G$3:$G$26</c:f>
              <c:numCache>
                <c:formatCode>_(* #,##0.00_);_(* \(#,##0.00\);_(* "-"??_);_(@_)</c:formatCode>
                <c:ptCount val="24"/>
                <c:pt idx="0">
                  <c:v>1261100</c:v>
                </c:pt>
                <c:pt idx="1">
                  <c:v>11428907</c:v>
                </c:pt>
                <c:pt idx="2">
                  <c:v>147100</c:v>
                </c:pt>
                <c:pt idx="3">
                  <c:v>3077896</c:v>
                </c:pt>
                <c:pt idx="4">
                  <c:v>14980044.949999999</c:v>
                </c:pt>
                <c:pt idx="5">
                  <c:v>54203246</c:v>
                </c:pt>
                <c:pt idx="6">
                  <c:v>21875380</c:v>
                </c:pt>
                <c:pt idx="7">
                  <c:v>2793630</c:v>
                </c:pt>
                <c:pt idx="8">
                  <c:v>18059391.949999999</c:v>
                </c:pt>
                <c:pt idx="9">
                  <c:v>5676784</c:v>
                </c:pt>
                <c:pt idx="10">
                  <c:v>8759900</c:v>
                </c:pt>
                <c:pt idx="11">
                  <c:v>85500</c:v>
                </c:pt>
                <c:pt idx="12">
                  <c:v>54600</c:v>
                </c:pt>
                <c:pt idx="13">
                  <c:v>502740</c:v>
                </c:pt>
                <c:pt idx="14">
                  <c:v>12000</c:v>
                </c:pt>
                <c:pt idx="15">
                  <c:v>417410</c:v>
                </c:pt>
                <c:pt idx="16">
                  <c:v>1754308</c:v>
                </c:pt>
                <c:pt idx="17">
                  <c:v>0</c:v>
                </c:pt>
                <c:pt idx="18">
                  <c:v>32200</c:v>
                </c:pt>
                <c:pt idx="19">
                  <c:v>7000</c:v>
                </c:pt>
                <c:pt idx="20">
                  <c:v>168040</c:v>
                </c:pt>
                <c:pt idx="21">
                  <c:v>155000</c:v>
                </c:pt>
                <c:pt idx="22">
                  <c:v>4810027.8300000429</c:v>
                </c:pt>
                <c:pt idx="23">
                  <c:v>150262205.73000005</c:v>
                </c:pt>
              </c:numCache>
            </c:numRef>
          </c:val>
          <c:extLst>
            <c:ext xmlns:c16="http://schemas.microsoft.com/office/drawing/2014/chart" uri="{C3380CC4-5D6E-409C-BE32-E72D297353CC}">
              <c16:uniqueId val="{00000003-4F87-4862-8161-6C3CFCCEBDDA}"/>
            </c:ext>
          </c:extLst>
        </c:ser>
        <c:ser>
          <c:idx val="4"/>
          <c:order val="4"/>
          <c:tx>
            <c:strRef>
              <c:f>'Table 2.2'!$H$2</c:f>
              <c:strCache>
                <c:ptCount val="1"/>
                <c:pt idx="0">
                  <c:v>Total Revenues FY 2018/19</c:v>
                </c:pt>
              </c:strCache>
            </c:strRef>
          </c:tx>
          <c:invertIfNegative val="0"/>
          <c:val>
            <c:numRef>
              <c:f>'Table 2.2'!$H$3:$H$26</c:f>
              <c:numCache>
                <c:formatCode>_(* #,##0.00_);_(* \(#,##0.00\);_(* "-"??_);_(@_)</c:formatCode>
                <c:ptCount val="24"/>
                <c:pt idx="0">
                  <c:v>5466225</c:v>
                </c:pt>
                <c:pt idx="1">
                  <c:v>45516822</c:v>
                </c:pt>
                <c:pt idx="2">
                  <c:v>443000</c:v>
                </c:pt>
                <c:pt idx="3">
                  <c:v>6806959</c:v>
                </c:pt>
                <c:pt idx="4">
                  <c:v>49532971.599999994</c:v>
                </c:pt>
                <c:pt idx="5">
                  <c:v>188730873</c:v>
                </c:pt>
                <c:pt idx="6">
                  <c:v>80095533</c:v>
                </c:pt>
                <c:pt idx="7">
                  <c:v>10461329</c:v>
                </c:pt>
                <c:pt idx="8">
                  <c:v>71361905.5</c:v>
                </c:pt>
                <c:pt idx="9">
                  <c:v>22954838</c:v>
                </c:pt>
                <c:pt idx="10">
                  <c:v>42343350</c:v>
                </c:pt>
                <c:pt idx="11">
                  <c:v>744483</c:v>
                </c:pt>
                <c:pt idx="12">
                  <c:v>278100</c:v>
                </c:pt>
                <c:pt idx="13">
                  <c:v>1929715</c:v>
                </c:pt>
                <c:pt idx="14">
                  <c:v>15000</c:v>
                </c:pt>
                <c:pt idx="15">
                  <c:v>1721554.77</c:v>
                </c:pt>
                <c:pt idx="16">
                  <c:v>4555131.25</c:v>
                </c:pt>
                <c:pt idx="17">
                  <c:v>27600</c:v>
                </c:pt>
                <c:pt idx="18">
                  <c:v>173800</c:v>
                </c:pt>
                <c:pt idx="19">
                  <c:v>266700</c:v>
                </c:pt>
                <c:pt idx="20">
                  <c:v>1440660</c:v>
                </c:pt>
                <c:pt idx="21">
                  <c:v>3898680.3</c:v>
                </c:pt>
                <c:pt idx="22">
                  <c:v>4810027.8300000429</c:v>
                </c:pt>
                <c:pt idx="23">
                  <c:v>543575258.25</c:v>
                </c:pt>
              </c:numCache>
            </c:numRef>
          </c:val>
          <c:extLst>
            <c:ext xmlns:c16="http://schemas.microsoft.com/office/drawing/2014/chart" uri="{C3380CC4-5D6E-409C-BE32-E72D297353CC}">
              <c16:uniqueId val="{00000004-4F87-4862-8161-6C3CFCCEBDDA}"/>
            </c:ext>
          </c:extLst>
        </c:ser>
        <c:dLbls>
          <c:showLegendKey val="0"/>
          <c:showVal val="0"/>
          <c:showCatName val="0"/>
          <c:showSerName val="0"/>
          <c:showPercent val="0"/>
          <c:showBubbleSize val="0"/>
        </c:dLbls>
        <c:gapWidth val="150"/>
        <c:shape val="pyramid"/>
        <c:axId val="229195776"/>
        <c:axId val="229197312"/>
        <c:axId val="0"/>
      </c:bar3DChart>
      <c:catAx>
        <c:axId val="229195776"/>
        <c:scaling>
          <c:orientation val="minMax"/>
        </c:scaling>
        <c:delete val="0"/>
        <c:axPos val="b"/>
        <c:majorTickMark val="out"/>
        <c:minorTickMark val="none"/>
        <c:tickLblPos val="nextTo"/>
        <c:crossAx val="229197312"/>
        <c:crosses val="autoZero"/>
        <c:auto val="1"/>
        <c:lblAlgn val="ctr"/>
        <c:lblOffset val="100"/>
        <c:noMultiLvlLbl val="0"/>
      </c:catAx>
      <c:valAx>
        <c:axId val="229197312"/>
        <c:scaling>
          <c:orientation val="minMax"/>
        </c:scaling>
        <c:delete val="0"/>
        <c:axPos val="l"/>
        <c:majorGridlines/>
        <c:numFmt formatCode="_(* #,##0.00_);_(* \(#,##0.00\);_(* &quot;-&quot;??_);_(@_)" sourceLinked="1"/>
        <c:majorTickMark val="out"/>
        <c:minorTickMark val="none"/>
        <c:tickLblPos val="nextTo"/>
        <c:crossAx val="229195776"/>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42F827-C961-4858-8CC0-5BE45E7C26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8847</Words>
  <Characters>50432</Characters>
  <Application>Microsoft Office Word</Application>
  <DocSecurity>4</DocSecurity>
  <Lines>420</Lines>
  <Paragraphs>118</Paragraphs>
  <ScaleCrop>false</ScaleCrop>
  <HeadingPairs>
    <vt:vector size="2" baseType="variant">
      <vt:variant>
        <vt:lpstr>Title</vt:lpstr>
      </vt:variant>
      <vt:variant>
        <vt:i4>1</vt:i4>
      </vt:variant>
    </vt:vector>
  </HeadingPairs>
  <TitlesOfParts>
    <vt:vector size="1" baseType="lpstr">
      <vt:lpstr/>
    </vt:vector>
  </TitlesOfParts>
  <Company>PricewaterhouseCoopers</Company>
  <LinksUpToDate>false</LinksUpToDate>
  <CharactersWithSpaces>59161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Jullie Makwata</cp:lastModifiedBy>
  <cp:revision>2</cp:revision>
  <cp:lastPrinted>2019-10-29T15:48:00Z</cp:lastPrinted>
  <dcterms:created xsi:type="dcterms:W3CDTF">2022-05-19T17:25:00Z</dcterms:created>
  <dcterms:modified xsi:type="dcterms:W3CDTF">2022-05-19T17:25:00Z</dcterms:modified>
</cp:coreProperties>
</file>